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B33" w:rsidRPr="00321B33" w:rsidRDefault="00321B33" w:rsidP="00321B33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</w:t>
      </w:r>
      <w:r w:rsidRPr="00321B3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Л. 11. Технологическая политика Германии</w:t>
      </w:r>
    </w:p>
    <w:p w:rsidR="00321B33" w:rsidRPr="00321B33" w:rsidRDefault="00321B33" w:rsidP="00321B33">
      <w:pPr>
        <w:shd w:val="clear" w:color="auto" w:fill="FFFFFF"/>
        <w:spacing w:after="267" w:line="240" w:lineRule="auto"/>
      </w:pPr>
      <w:r w:rsidRPr="00321B33">
        <w:t>ПРЕДЕЛЫ ЛИДЕРСТВА ГЕРМАНИИ В ЕВРОПЕ Сборник статей Ответственный редактор член-корреспондент РАН А.В. Кузнецов Москва ИМЭМО РАН 2018</w:t>
      </w:r>
    </w:p>
    <w:p w:rsidR="00321B33" w:rsidRPr="00321B33" w:rsidRDefault="00321B33" w:rsidP="00321B33">
      <w:pPr>
        <w:shd w:val="clear" w:color="auto" w:fill="FFFFFF"/>
        <w:spacing w:after="267" w:line="240" w:lineRule="auto"/>
      </w:pPr>
      <w:r w:rsidRPr="00321B33">
        <w:t xml:space="preserve">                                       Промышленность Герма</w:t>
      </w:r>
      <w:bookmarkStart w:id="0" w:name="_GoBack"/>
      <w:bookmarkEnd w:id="0"/>
      <w:r w:rsidRPr="00321B33">
        <w:t>нии</w:t>
      </w:r>
    </w:p>
    <w:p w:rsidR="00321B33" w:rsidRPr="00321B33" w:rsidRDefault="00321B33" w:rsidP="00321B33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r w:rsidRPr="00321B33">
        <w:rPr>
          <w:rFonts w:ascii="Arial" w:hAnsi="Arial" w:cs="Arial"/>
          <w:b/>
          <w:bCs/>
          <w:color w:val="202122"/>
          <w:sz w:val="21"/>
          <w:szCs w:val="21"/>
        </w:rPr>
        <w:t>Промы́шленность</w:t>
      </w:r>
      <w:proofErr w:type="spellEnd"/>
      <w:r w:rsidRPr="00321B33">
        <w:rPr>
          <w:rFonts w:ascii="Arial" w:hAnsi="Arial" w:cs="Arial"/>
          <w:color w:val="202122"/>
          <w:sz w:val="21"/>
          <w:szCs w:val="21"/>
        </w:rPr>
        <w:t> (от </w:t>
      </w:r>
      <w:hyperlink r:id="rId5" w:tooltip="Русский язык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рус.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</w:t>
      </w:r>
      <w:r w:rsidRPr="00321B33">
        <w:rPr>
          <w:rFonts w:ascii="Arial" w:hAnsi="Arial" w:cs="Arial"/>
          <w:i/>
          <w:iCs/>
          <w:color w:val="202122"/>
          <w:sz w:val="21"/>
          <w:szCs w:val="21"/>
        </w:rPr>
        <w:t>промышлять, промысел</w:t>
      </w:r>
      <w:r w:rsidRPr="00321B33">
        <w:rPr>
          <w:rFonts w:ascii="Arial" w:hAnsi="Arial" w:cs="Arial"/>
          <w:color w:val="202122"/>
          <w:sz w:val="21"/>
          <w:szCs w:val="21"/>
        </w:rPr>
        <w:t>) — совокупность </w:t>
      </w:r>
      <w:hyperlink r:id="rId6" w:tooltip="Предприятие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предприятий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(</w:t>
      </w:r>
      <w:hyperlink r:id="rId7" w:tooltip="Рудник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рудников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, </w:t>
      </w:r>
      <w:hyperlink r:id="rId8" w:tooltip="Шахта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шахт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, </w:t>
      </w:r>
      <w:hyperlink r:id="rId9" w:tooltip="Электростанция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электростанций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, </w:t>
      </w:r>
      <w:hyperlink r:id="rId10" w:tooltip="Завод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заводов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, </w:t>
      </w:r>
      <w:hyperlink r:id="rId11" w:tooltip="Комбинат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комбинатов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, </w:t>
      </w:r>
      <w:hyperlink r:id="rId12" w:tooltip="Фабрика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фабрик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), занятых добычей </w:t>
      </w:r>
      <w:hyperlink r:id="rId13" w:tooltip="Сырьё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сырья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и </w:t>
      </w:r>
      <w:hyperlink r:id="rId14" w:tooltip="Топливо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топлива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; </w:t>
      </w:r>
      <w:hyperlink r:id="rId15" w:tooltip="Производство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производством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</w:t>
      </w:r>
      <w:hyperlink r:id="rId16" w:tooltip="Энергия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энергии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и </w:t>
      </w:r>
      <w:hyperlink r:id="rId17" w:tooltip="Орудие труда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орудий труда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(как для других отраслей народного хозяйства, так и для самой промышленности); обработкой </w:t>
      </w:r>
      <w:hyperlink r:id="rId18" w:tooltip="Материал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материалов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и продуктов, произведённых в промышленности или в </w:t>
      </w:r>
      <w:hyperlink r:id="rId19" w:tooltip="Сельское хозяйство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сельском хозяйстве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; изготовлением </w:t>
      </w:r>
      <w:hyperlink r:id="rId20" w:tooltip="Потребительские товары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потребительских товаров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. В </w:t>
      </w:r>
      <w:hyperlink r:id="rId21" w:tooltip="Трёхсекторная модель экономики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трёхсекторной модели экономики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</w:t>
      </w:r>
      <w:hyperlink r:id="rId22" w:tooltip="Обрабатывающая промышленность" w:history="1">
        <w:r w:rsidRPr="00321B33">
          <w:rPr>
            <w:rStyle w:val="a3"/>
            <w:rFonts w:ascii="Arial" w:hAnsi="Arial" w:cs="Arial"/>
            <w:i/>
            <w:iCs/>
            <w:color w:val="0645AD"/>
            <w:sz w:val="21"/>
            <w:szCs w:val="21"/>
          </w:rPr>
          <w:t>обрабатывающая промышленность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составляет </w:t>
      </w:r>
      <w:hyperlink r:id="rId23" w:tooltip="Вторичный сектор экономики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вторичный сектор экономики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. При этом </w:t>
      </w:r>
      <w:r w:rsidRPr="00321B33">
        <w:rPr>
          <w:rFonts w:ascii="Arial" w:hAnsi="Arial" w:cs="Arial"/>
          <w:i/>
          <w:iCs/>
          <w:color w:val="202122"/>
          <w:sz w:val="21"/>
          <w:szCs w:val="21"/>
        </w:rPr>
        <w:t>добывающая промышленность</w:t>
      </w:r>
      <w:r w:rsidRPr="00321B33">
        <w:rPr>
          <w:rFonts w:ascii="Arial" w:hAnsi="Arial" w:cs="Arial"/>
          <w:color w:val="202122"/>
          <w:sz w:val="21"/>
          <w:szCs w:val="21"/>
        </w:rPr>
        <w:t> входит в </w:t>
      </w:r>
      <w:hyperlink r:id="rId24" w:tooltip="Первичный сектор экономики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первичный сектор экономики</w:t>
        </w:r>
      </w:hyperlink>
      <w:hyperlink r:id="rId25" w:anchor="cite_note-1" w:history="1">
        <w:r w:rsidRPr="00321B33">
          <w:rPr>
            <w:rStyle w:val="a3"/>
            <w:rFonts w:ascii="Arial" w:hAnsi="Arial" w:cs="Arial"/>
            <w:color w:val="0645AD"/>
            <w:sz w:val="17"/>
            <w:szCs w:val="17"/>
            <w:vertAlign w:val="superscript"/>
          </w:rPr>
          <w:t>[1]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.</w:t>
      </w:r>
    </w:p>
    <w:p w:rsidR="00321B33" w:rsidRPr="00321B33" w:rsidRDefault="00321B33" w:rsidP="00321B33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 w:rsidRPr="00321B33">
        <w:rPr>
          <w:rFonts w:ascii="Arial" w:hAnsi="Arial" w:cs="Arial"/>
          <w:color w:val="202122"/>
          <w:sz w:val="21"/>
          <w:szCs w:val="21"/>
        </w:rPr>
        <w:t>Промышленность — важнейшая отрасль </w:t>
      </w:r>
      <w:hyperlink r:id="rId26" w:tooltip="Народное хозяйство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народного хозяйства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, оказывающая решающее воздействие на уровень развития производительных сил общества. Промышленность состоит из трёх больших групп отраслей:</w:t>
      </w:r>
    </w:p>
    <w:p w:rsidR="00321B33" w:rsidRPr="00321B33" w:rsidRDefault="00321B33" w:rsidP="00321B3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 w:rsidRPr="00321B33">
        <w:rPr>
          <w:rFonts w:ascii="Arial" w:hAnsi="Arial" w:cs="Arial"/>
          <w:i/>
          <w:iCs/>
          <w:color w:val="202122"/>
          <w:sz w:val="21"/>
          <w:szCs w:val="21"/>
        </w:rPr>
        <w:t>Добывающей</w:t>
      </w:r>
    </w:p>
    <w:p w:rsidR="00321B33" w:rsidRPr="00321B33" w:rsidRDefault="00321B33" w:rsidP="00321B3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 w:rsidRPr="00321B33">
        <w:rPr>
          <w:rFonts w:ascii="Arial" w:hAnsi="Arial" w:cs="Arial"/>
          <w:i/>
          <w:iCs/>
          <w:color w:val="202122"/>
          <w:sz w:val="21"/>
          <w:szCs w:val="21"/>
        </w:rPr>
        <w:t>Обрабатывающей</w:t>
      </w:r>
    </w:p>
    <w:p w:rsidR="00321B33" w:rsidRPr="00321B33" w:rsidRDefault="00321B33" w:rsidP="00321B3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27" w:tooltip="Электроэнергетики (страница отсутствует)" w:history="1">
        <w:r w:rsidRPr="00321B33">
          <w:rPr>
            <w:rStyle w:val="a3"/>
            <w:rFonts w:ascii="Arial" w:hAnsi="Arial" w:cs="Arial"/>
            <w:i/>
            <w:iCs/>
            <w:color w:val="BA0000"/>
            <w:sz w:val="21"/>
            <w:szCs w:val="21"/>
          </w:rPr>
          <w:t>Электроэнергетики</w:t>
        </w:r>
      </w:hyperlink>
    </w:p>
    <w:p w:rsidR="00321B33" w:rsidRPr="00321B33" w:rsidRDefault="00321B33" w:rsidP="00321B33">
      <w:p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К </w:t>
      </w:r>
      <w:r w:rsidRPr="00321B33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обрабатывающей промышленности</w:t>
      </w:r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 относятся предприятия </w:t>
      </w:r>
      <w:hyperlink r:id="rId28" w:tooltip="Машиностроение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машиностроения</w:t>
        </w:r>
      </w:hyperlink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, предприятия по производству чёрных и цветных металлов, </w:t>
      </w:r>
      <w:hyperlink r:id="rId29" w:tooltip="Металлопрокат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проката</w:t>
        </w:r>
      </w:hyperlink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30" w:tooltip="Химия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химических</w:t>
        </w:r>
      </w:hyperlink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 и </w:t>
      </w:r>
      <w:hyperlink r:id="rId31" w:tooltip="Нефтехимия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нефтехимических</w:t>
        </w:r>
      </w:hyperlink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 продуктов, машин и оборудования, продуктов деревообработки и </w:t>
      </w:r>
      <w:hyperlink r:id="rId32" w:tooltip="Целлюлозно-бумажная промышленность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целлюлозно-бумажной промышленности</w:t>
        </w:r>
      </w:hyperlink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33" w:tooltip="Цемент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цемента</w:t>
        </w:r>
      </w:hyperlink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 и др. </w:t>
      </w:r>
      <w:hyperlink r:id="rId34" w:tooltip="Строительные материалы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строительных материалов</w:t>
        </w:r>
      </w:hyperlink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, продуктов </w:t>
      </w:r>
      <w:hyperlink r:id="rId35" w:tooltip="Лёгкая промышленность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лёгкой</w:t>
        </w:r>
      </w:hyperlink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 и </w:t>
      </w:r>
      <w:hyperlink r:id="rId36" w:tooltip="Пищевая промышленность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пищевой промышленности</w:t>
        </w:r>
      </w:hyperlink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37" w:tooltip="Местная промышленность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местная промышленность</w:t>
        </w:r>
      </w:hyperlink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, а также предприятия по ремонту промышленных изделий (</w:t>
      </w:r>
      <w:hyperlink r:id="rId38" w:tooltip="Паровозоремонтные заводы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паровозоремонтная</w:t>
        </w:r>
      </w:hyperlink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, локомотиворемонтная) и </w:t>
      </w:r>
      <w:hyperlink r:id="rId39" w:tooltip="Теплоэлектростанция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теплоэлектростанции</w:t>
        </w:r>
      </w:hyperlink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, кинопромышленность (</w:t>
      </w:r>
      <w:hyperlink r:id="rId40" w:tooltip="Киноиндустрия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киноиндустрия</w:t>
        </w:r>
      </w:hyperlink>
      <w:r w:rsidRPr="00321B33">
        <w:rPr>
          <w:rFonts w:ascii="Arial" w:hAnsi="Arial" w:cs="Arial"/>
          <w:color w:val="202122"/>
          <w:sz w:val="21"/>
          <w:szCs w:val="21"/>
          <w:shd w:val="clear" w:color="auto" w:fill="FFFFFF"/>
        </w:rPr>
        <w:t>).</w:t>
      </w:r>
    </w:p>
    <w:p w:rsidR="00321B33" w:rsidRPr="00321B33" w:rsidRDefault="00321B33" w:rsidP="00321B33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 w:rsidRPr="00321B33">
        <w:rPr>
          <w:rFonts w:ascii="Arial" w:hAnsi="Arial" w:cs="Arial"/>
          <w:b/>
          <w:bCs/>
          <w:color w:val="202122"/>
          <w:sz w:val="21"/>
          <w:szCs w:val="21"/>
        </w:rPr>
        <w:t>Отрасль промышленности</w:t>
      </w:r>
      <w:r w:rsidRPr="00321B33">
        <w:rPr>
          <w:rFonts w:ascii="Arial" w:hAnsi="Arial" w:cs="Arial"/>
          <w:color w:val="202122"/>
          <w:sz w:val="21"/>
          <w:szCs w:val="21"/>
        </w:rPr>
        <w:t> — объективно обособившаяся часть промышленности, объединяющая </w:t>
      </w:r>
      <w:hyperlink r:id="rId41" w:tooltip="Предприятия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предприятия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, производящие однородную, специфическую </w:t>
      </w:r>
      <w:hyperlink r:id="rId42" w:tooltip="Продукция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продукцию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, имеющую однотипные </w:t>
      </w:r>
      <w:hyperlink r:id="rId43" w:tooltip="Технология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технологии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и ограниченный круг </w:t>
      </w:r>
      <w:hyperlink r:id="rId44" w:tooltip="Потребитель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потребителей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.</w:t>
      </w:r>
    </w:p>
    <w:p w:rsidR="00321B33" w:rsidRPr="00321B33" w:rsidRDefault="00321B33" w:rsidP="00321B33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 w:rsidRPr="00321B33">
        <w:rPr>
          <w:rFonts w:ascii="Arial" w:hAnsi="Arial" w:cs="Arial"/>
          <w:color w:val="202122"/>
          <w:sz w:val="21"/>
          <w:szCs w:val="21"/>
        </w:rPr>
        <w:t>В </w:t>
      </w:r>
      <w:hyperlink r:id="rId45" w:tooltip="Общесоюзный классификатор отраслей народного хозяйства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ОКОНХ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выделялись следующие укрупнённые </w:t>
      </w:r>
      <w:r w:rsidRPr="00321B33">
        <w:rPr>
          <w:rFonts w:ascii="Arial" w:hAnsi="Arial" w:cs="Arial"/>
          <w:i/>
          <w:iCs/>
          <w:color w:val="202122"/>
          <w:sz w:val="21"/>
          <w:szCs w:val="21"/>
        </w:rPr>
        <w:t>отрасли промышленности</w:t>
      </w:r>
      <w:r w:rsidRPr="00321B33">
        <w:rPr>
          <w:rFonts w:ascii="Arial" w:hAnsi="Arial" w:cs="Arial"/>
          <w:color w:val="202122"/>
          <w:sz w:val="21"/>
          <w:szCs w:val="21"/>
        </w:rPr>
        <w:t>:</w:t>
      </w:r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46" w:tooltip="Электроэнергетика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Электроэнергетика</w:t>
        </w:r>
      </w:hyperlink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47" w:tooltip="Топливная промышленность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Топливная промышленность</w:t>
        </w:r>
      </w:hyperlink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48" w:tooltip="Чёрная металлургия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Чёрная металлургия</w:t>
        </w:r>
      </w:hyperlink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49" w:tooltip="Цветная металлургия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Цветная металлургия</w:t>
        </w:r>
      </w:hyperlink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50" w:tooltip="Химическая промышленность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Химическая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и </w:t>
      </w:r>
      <w:hyperlink r:id="rId51" w:tooltip="Нефтехимия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нефтехимическая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промышленность</w:t>
      </w:r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52" w:tooltip="Машиностроение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Машиностроение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и </w:t>
      </w:r>
      <w:hyperlink r:id="rId53" w:tooltip="Металлообработка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металлообработка</w:t>
        </w:r>
      </w:hyperlink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54" w:tooltip="Лесная промышленность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Лесная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, </w:t>
      </w:r>
      <w:hyperlink r:id="rId55" w:tooltip="Деревообрабатывающая промышленность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деревообрабатывающая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> и </w:t>
      </w:r>
      <w:hyperlink r:id="rId56" w:tooltip="Целлюлозно-бумажная промышленность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целлюлозно-бумажная промышленность</w:t>
        </w:r>
      </w:hyperlink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 w:rsidRPr="00321B33">
        <w:rPr>
          <w:rFonts w:ascii="Arial" w:hAnsi="Arial" w:cs="Arial"/>
          <w:color w:val="202122"/>
          <w:sz w:val="21"/>
          <w:szCs w:val="21"/>
        </w:rPr>
        <w:t>Промышленность </w:t>
      </w:r>
      <w:hyperlink r:id="rId57" w:tooltip="Строительные материалы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строительных материалов</w:t>
        </w:r>
      </w:hyperlink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58" w:tooltip="Стекольная промышленность (страница отсутствует)" w:history="1">
        <w:r w:rsidRPr="00321B33">
          <w:rPr>
            <w:rStyle w:val="a3"/>
            <w:rFonts w:ascii="Arial" w:hAnsi="Arial" w:cs="Arial"/>
            <w:color w:val="BA0000"/>
            <w:sz w:val="21"/>
            <w:szCs w:val="21"/>
          </w:rPr>
          <w:t>Стекольная</w:t>
        </w:r>
      </w:hyperlink>
      <w:r w:rsidRPr="00321B33">
        <w:rPr>
          <w:rFonts w:ascii="Arial" w:hAnsi="Arial" w:cs="Arial"/>
          <w:color w:val="202122"/>
          <w:sz w:val="21"/>
          <w:szCs w:val="21"/>
        </w:rPr>
        <w:t xml:space="preserve"> и </w:t>
      </w:r>
      <w:proofErr w:type="spellStart"/>
      <w:proofErr w:type="gramStart"/>
      <w:r w:rsidRPr="00321B33">
        <w:rPr>
          <w:rFonts w:ascii="Arial" w:hAnsi="Arial" w:cs="Arial"/>
          <w:color w:val="202122"/>
          <w:sz w:val="21"/>
          <w:szCs w:val="21"/>
        </w:rPr>
        <w:t>фарфоро</w:t>
      </w:r>
      <w:proofErr w:type="spellEnd"/>
      <w:r w:rsidRPr="00321B33">
        <w:rPr>
          <w:rFonts w:ascii="Arial" w:hAnsi="Arial" w:cs="Arial"/>
          <w:color w:val="202122"/>
          <w:sz w:val="21"/>
          <w:szCs w:val="21"/>
        </w:rPr>
        <w:t>-фаянсовая</w:t>
      </w:r>
      <w:proofErr w:type="gramEnd"/>
      <w:r w:rsidRPr="00321B33">
        <w:rPr>
          <w:rFonts w:ascii="Arial" w:hAnsi="Arial" w:cs="Arial"/>
          <w:color w:val="202122"/>
          <w:sz w:val="21"/>
          <w:szCs w:val="21"/>
        </w:rPr>
        <w:t xml:space="preserve"> промышленность</w:t>
      </w:r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59" w:history="1">
        <w:r w:rsidRPr="00321B33">
          <w:rPr>
            <w:rStyle w:val="a3"/>
            <w:rFonts w:ascii="Arial" w:hAnsi="Arial" w:cs="Arial"/>
            <w:color w:val="FAA700"/>
            <w:sz w:val="21"/>
            <w:szCs w:val="21"/>
          </w:rPr>
          <w:t>Лёгкая промышленность</w:t>
        </w:r>
      </w:hyperlink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60" w:tooltip="Пищевая промышленность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Пищевая промышленность</w:t>
        </w:r>
      </w:hyperlink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61" w:tooltip="Микробиологическая промышленность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Микробиологическая промышленность</w:t>
        </w:r>
      </w:hyperlink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 w:rsidRPr="00321B33">
        <w:rPr>
          <w:rFonts w:ascii="Arial" w:hAnsi="Arial" w:cs="Arial"/>
          <w:color w:val="202122"/>
          <w:sz w:val="21"/>
          <w:szCs w:val="21"/>
        </w:rPr>
        <w:t>Мукомольно-крупяная и комбикормовая промышленность</w:t>
      </w:r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62" w:tooltip="Медицинская промышленность (страница отсутствует)" w:history="1">
        <w:r w:rsidRPr="00321B33">
          <w:rPr>
            <w:rStyle w:val="a3"/>
            <w:rFonts w:ascii="Arial" w:hAnsi="Arial" w:cs="Arial"/>
            <w:color w:val="BA0000"/>
            <w:sz w:val="21"/>
            <w:szCs w:val="21"/>
          </w:rPr>
          <w:t>Медицинская промышленность</w:t>
        </w:r>
      </w:hyperlink>
    </w:p>
    <w:p w:rsidR="00321B33" w:rsidRPr="00321B33" w:rsidRDefault="00321B33" w:rsidP="00321B3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63" w:tooltip="Полиграфическая промышленность" w:history="1">
        <w:r w:rsidRPr="00321B33">
          <w:rPr>
            <w:rStyle w:val="a3"/>
            <w:rFonts w:ascii="Arial" w:hAnsi="Arial" w:cs="Arial"/>
            <w:color w:val="0645AD"/>
            <w:sz w:val="21"/>
            <w:szCs w:val="21"/>
          </w:rPr>
          <w:t>Полиграфическая промышленность</w:t>
        </w:r>
      </w:hyperlink>
    </w:p>
    <w:p w:rsidR="00321B33" w:rsidRPr="00321B33" w:rsidRDefault="00321B33" w:rsidP="00321B33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 w:rsidRPr="00321B33">
        <w:rPr>
          <w:rFonts w:ascii="Arial" w:hAnsi="Arial" w:cs="Arial"/>
          <w:color w:val="202122"/>
          <w:sz w:val="21"/>
          <w:szCs w:val="21"/>
        </w:rPr>
        <w:t>и др. промышленные производства https://ru.wikipedia.org/wiki</w:t>
      </w:r>
    </w:p>
    <w:p w:rsidR="00321B33" w:rsidRPr="00321B33" w:rsidRDefault="00321B33" w:rsidP="00321B33">
      <w:p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</w:p>
    <w:p w:rsidR="00321B33" w:rsidRPr="00321B33" w:rsidRDefault="00321B33" w:rsidP="00321B33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:rsidR="00321B33" w:rsidRPr="00321B33" w:rsidRDefault="00321B33" w:rsidP="00321B33">
      <w:pPr>
        <w:shd w:val="clear" w:color="auto" w:fill="FFFFFF"/>
        <w:spacing w:after="267" w:line="240" w:lineRule="auto"/>
      </w:pPr>
    </w:p>
    <w:p w:rsidR="00321B33" w:rsidRPr="00321B33" w:rsidRDefault="00321B33" w:rsidP="00321B33">
      <w:pPr>
        <w:shd w:val="clear" w:color="auto" w:fill="FFFFFF"/>
        <w:spacing w:after="267" w:line="240" w:lineRule="auto"/>
      </w:pPr>
      <w:r w:rsidRPr="00321B33">
        <w:t xml:space="preserve">Инновационная инфраструктура Германии представляет собой сложную сеть различных организаций федерального и земельного значения: научно-исследовательские институты, общества, альянсы промышленников, фонды и другие организации. </w:t>
      </w:r>
    </w:p>
    <w:p w:rsidR="00321B33" w:rsidRPr="00321B33" w:rsidRDefault="00321B33" w:rsidP="00321B33">
      <w:pPr>
        <w:shd w:val="clear" w:color="auto" w:fill="FFFFFF"/>
        <w:spacing w:after="267" w:line="240" w:lineRule="auto"/>
      </w:pPr>
      <w:r w:rsidRPr="00321B33">
        <w:t xml:space="preserve">К ключевым научным и исследовательским организациям ФРГ относятся: - Германское общество исследований, которое представляет собой главный научный центр для поддержки исследований в школах, университетах и НИИ; - Союз Германских академий наук, объединяющий 8 научных академий Германии; - Союз фондов германской науки, который оказывает содействие реформам высшей школы, структурным инновациям и </w:t>
      </w:r>
      <w:proofErr w:type="spellStart"/>
      <w:r w:rsidRPr="00321B33">
        <w:t>межстрановому</w:t>
      </w:r>
      <w:proofErr w:type="spellEnd"/>
      <w:r w:rsidRPr="00321B33">
        <w:t xml:space="preserve"> диалогу ученых; - Фонд содействия талантливым ученым. Он состоит из 11 фондов, которые выделяют стипендии на исследования; - Фонд промышленных исследований, который выделяет финансовые ресурсы на прикладные исследования; - Германский федеральный фонд экологии. Для выработки рекомендаций федеральному правительству в вопросах образовательной и научной политики в 1957 году был основан Совет по науке, куда вошли видные представители академических кругов Германии.</w:t>
      </w:r>
    </w:p>
    <w:p w:rsidR="00321B33" w:rsidRPr="00321B33" w:rsidRDefault="00321B33" w:rsidP="00321B33">
      <w:pPr>
        <w:shd w:val="clear" w:color="auto" w:fill="FFFFFF"/>
        <w:spacing w:after="267" w:line="240" w:lineRule="auto"/>
      </w:pPr>
      <w:r w:rsidRPr="00321B33">
        <w:t>В Германии существует четыре научных общества (Фраунгофера, Лейбница, Гельмгольца и Макса Планка), объединяющих множество институтов и исследовательских центров в одну сеть.</w:t>
      </w:r>
    </w:p>
    <w:p w:rsidR="00321B33" w:rsidRPr="00321B33" w:rsidRDefault="00321B33" w:rsidP="00321B33">
      <w:pPr>
        <w:shd w:val="clear" w:color="auto" w:fill="FFFFFF"/>
        <w:spacing w:after="267" w:line="240" w:lineRule="auto"/>
      </w:pPr>
      <w:r w:rsidRPr="00321B33">
        <w:t xml:space="preserve">Общество им. Фраунгофера занимается прикладными исследованиями, направленными на удовлетворение непосредственных нужд экономики и общества, среди прочего, в сфере здравоохранения, мобильности, безопасности, коммуникации, энергетики и окружающей среды. Общество им. Фраунгофера насчитывает 59 научных институтов и 17000 сотрудников, которые трудятся в 40 городах Германии. Ежегодный бюджет на исследования составляет </w:t>
      </w:r>
      <w:proofErr w:type="spellStart"/>
      <w:r w:rsidRPr="00321B33">
        <w:t>ок</w:t>
      </w:r>
      <w:proofErr w:type="spellEnd"/>
      <w:r w:rsidRPr="00321B33">
        <w:t>. 1,5 млрд. евро.</w:t>
      </w:r>
    </w:p>
    <w:p w:rsidR="00321B33" w:rsidRPr="00321B33" w:rsidRDefault="00321B33" w:rsidP="00321B33">
      <w:pPr>
        <w:shd w:val="clear" w:color="auto" w:fill="FFFFFF"/>
        <w:spacing w:after="267" w:line="240" w:lineRule="auto"/>
      </w:pPr>
      <w:r w:rsidRPr="00321B33">
        <w:t>Научное Общество имени Готфрида Вильгельма Лейбница (</w:t>
      </w:r>
      <w:proofErr w:type="spellStart"/>
      <w:r w:rsidRPr="00321B33">
        <w:t>Wissenschaftsgemeinschaft</w:t>
      </w:r>
      <w:proofErr w:type="spellEnd"/>
      <w:r w:rsidRPr="00321B33">
        <w:t xml:space="preserve"> </w:t>
      </w:r>
      <w:proofErr w:type="spellStart"/>
      <w:r w:rsidRPr="00321B33">
        <w:t>Gottfried</w:t>
      </w:r>
      <w:proofErr w:type="spellEnd"/>
      <w:r w:rsidRPr="00321B33">
        <w:t xml:space="preserve"> </w:t>
      </w:r>
      <w:proofErr w:type="spellStart"/>
      <w:r w:rsidRPr="00321B33">
        <w:t>Wilhelm</w:t>
      </w:r>
      <w:proofErr w:type="spellEnd"/>
      <w:r w:rsidRPr="00321B33">
        <w:t xml:space="preserve"> </w:t>
      </w:r>
      <w:proofErr w:type="spellStart"/>
      <w:r w:rsidRPr="00321B33">
        <w:t>Leibniz</w:t>
      </w:r>
      <w:proofErr w:type="spellEnd"/>
      <w:r w:rsidRPr="00321B33">
        <w:t xml:space="preserve"> </w:t>
      </w:r>
      <w:proofErr w:type="spellStart"/>
      <w:r w:rsidRPr="00321B33">
        <w:t>e.V</w:t>
      </w:r>
      <w:proofErr w:type="spellEnd"/>
      <w:r w:rsidRPr="00321B33">
        <w:t>.) также является крупным объединением научно-исследовательских центров, проводящих прикладные исследования в различных областях. В Общество имени Лейбница входят 89 институтов с общим количеством 17500 исследователей и 8800 ученых. Также следует отметить, что при обществе создано подразделение, занимающееся трансфертом технологий и знаний, что является преимуществом для осуществления политики продвижения результатов своих исследований за рубежом и привлечения передовых иностранных разработок. Ежегодный бюджет Общества составляет 1,5 млрд. евро. Направления исследований разделены на 5 секций: 1) секция А – гуманитарные науки и исследование проблем образования; 2) секция В – экономика, социальные и пространственные науки; 3) секция С – науки о жизни; 4) секция D – математика, естественные науки и инженерия; 5) секция Е – исследования окружающей среды.</w:t>
      </w:r>
    </w:p>
    <w:p w:rsidR="00321B33" w:rsidRPr="00321B33" w:rsidRDefault="00321B33" w:rsidP="00321B33">
      <w:pPr>
        <w:shd w:val="clear" w:color="auto" w:fill="FFFFFF"/>
        <w:spacing w:after="267" w:line="240" w:lineRule="auto"/>
      </w:pPr>
      <w:r w:rsidRPr="00321B33">
        <w:t>Объединение имени Гельмгольца (</w:t>
      </w:r>
      <w:proofErr w:type="spellStart"/>
      <w:r w:rsidRPr="00321B33">
        <w:t>Helmholtz</w:t>
      </w:r>
      <w:proofErr w:type="spellEnd"/>
      <w:r w:rsidRPr="00321B33">
        <w:t xml:space="preserve"> – </w:t>
      </w:r>
      <w:proofErr w:type="spellStart"/>
      <w:r w:rsidRPr="00321B33">
        <w:t>Gemeinschaft</w:t>
      </w:r>
      <w:proofErr w:type="spellEnd"/>
      <w:r w:rsidRPr="00321B33">
        <w:t xml:space="preserve"> </w:t>
      </w:r>
      <w:proofErr w:type="spellStart"/>
      <w:r w:rsidRPr="00321B33">
        <w:t>Deutscher</w:t>
      </w:r>
      <w:proofErr w:type="spellEnd"/>
      <w:r w:rsidRPr="00321B33">
        <w:t xml:space="preserve"> </w:t>
      </w:r>
      <w:proofErr w:type="spellStart"/>
      <w:r w:rsidRPr="00321B33">
        <w:t>Forschungszentren</w:t>
      </w:r>
      <w:proofErr w:type="spellEnd"/>
      <w:r w:rsidRPr="00321B33">
        <w:t xml:space="preserve"> </w:t>
      </w:r>
      <w:proofErr w:type="spellStart"/>
      <w:r w:rsidRPr="00321B33">
        <w:t>e.V</w:t>
      </w:r>
      <w:proofErr w:type="spellEnd"/>
      <w:r w:rsidRPr="00321B33">
        <w:t>.) - крупнейшая научная организация Германии. В её 18 естественнонаучных, технических и медико-биологических исследовательских центрах работают в общей сложности почти 36.000 сотрудников, включая около 10 тыс. ученых и более 4,5 тыс. профессоров. ежегодный бюджет на исследования составляет 3,4 млрд. евро. Около 70% этой суммы вносят федеральные и земельные власти в соотношении 90:10. Ещё примерно 30% – это спонсорские средства, которые привлекают сами центры. Главными направлениями в исследованиях составляют шесть направлений: 1) энергетика и окружающая среда; 2) здоровье; 3) ключевые технологии; 4) структура вещества; 5) аэронавтика и космос; 6) транспорт.</w:t>
      </w:r>
    </w:p>
    <w:p w:rsidR="00321B33" w:rsidRPr="00321B33" w:rsidRDefault="00321B33" w:rsidP="00321B33">
      <w:pPr>
        <w:shd w:val="clear" w:color="auto" w:fill="FFFFFF"/>
        <w:spacing w:after="267" w:line="240" w:lineRule="auto"/>
      </w:pPr>
      <w:r w:rsidRPr="00321B33">
        <w:t>Общество им. Макса Планка по продвижению наук Общество им. Макса Планка по продвижению наук (</w:t>
      </w:r>
      <w:proofErr w:type="spellStart"/>
      <w:r w:rsidRPr="00321B33">
        <w:t>Max</w:t>
      </w:r>
      <w:proofErr w:type="spellEnd"/>
      <w:r w:rsidRPr="00321B33">
        <w:t xml:space="preserve"> </w:t>
      </w:r>
      <w:proofErr w:type="spellStart"/>
      <w:r w:rsidRPr="00321B33">
        <w:t>Planck</w:t>
      </w:r>
      <w:proofErr w:type="spellEnd"/>
      <w:r w:rsidRPr="00321B33">
        <w:t xml:space="preserve"> </w:t>
      </w:r>
      <w:proofErr w:type="spellStart"/>
      <w:r w:rsidRPr="00321B33">
        <w:t>Gesellschaft</w:t>
      </w:r>
      <w:proofErr w:type="spellEnd"/>
      <w:r w:rsidRPr="00321B33">
        <w:t xml:space="preserve"> </w:t>
      </w:r>
      <w:proofErr w:type="spellStart"/>
      <w:r w:rsidRPr="00321B33">
        <w:t>zur</w:t>
      </w:r>
      <w:proofErr w:type="spellEnd"/>
      <w:r w:rsidRPr="00321B33">
        <w:t xml:space="preserve"> </w:t>
      </w:r>
      <w:proofErr w:type="spellStart"/>
      <w:r w:rsidRPr="00321B33">
        <w:t>Förderung</w:t>
      </w:r>
      <w:proofErr w:type="spellEnd"/>
      <w:r w:rsidRPr="00321B33">
        <w:t xml:space="preserve"> </w:t>
      </w:r>
      <w:proofErr w:type="spellStart"/>
      <w:r w:rsidRPr="00321B33">
        <w:t>der</w:t>
      </w:r>
      <w:proofErr w:type="spellEnd"/>
      <w:r w:rsidRPr="00321B33">
        <w:t xml:space="preserve"> </w:t>
      </w:r>
      <w:proofErr w:type="spellStart"/>
      <w:r w:rsidRPr="00321B33">
        <w:t>Wissenschaften</w:t>
      </w:r>
      <w:proofErr w:type="spellEnd"/>
      <w:r w:rsidRPr="00321B33">
        <w:t xml:space="preserve">) объединяет 83 института и исследовательских центра. 5 институтов и 1 филиал находятся за пределами Германии. В Обществе работают 21614 сотрудников, включая 5516 ученых и 7000 ассистентов. Годовой бюджет на 2014г. составил 1,6 млрд. </w:t>
      </w:r>
      <w:r w:rsidRPr="00321B33">
        <w:lastRenderedPageBreak/>
        <w:t xml:space="preserve">евро. Главными направлениями исследований являются науки о жизни, естественные науки, социальные науки и гуманитарные науки, однако следует отметить известность Общества в разработке инновационных материалов и технологий. Исследования носят в основном фундаментальный характер, однако главной целью Общество им. Макса Планка называет коммерциализацию своих научных разработок. </w:t>
      </w:r>
    </w:p>
    <w:p w:rsidR="00321B33" w:rsidRPr="00321B33" w:rsidRDefault="00321B33" w:rsidP="00321B33">
      <w:pPr>
        <w:shd w:val="clear" w:color="auto" w:fill="FFFFFF"/>
        <w:spacing w:after="267" w:line="240" w:lineRule="auto"/>
      </w:pPr>
      <w:r w:rsidRPr="00321B33">
        <w:t xml:space="preserve">Негосударственные предприятия и организации, учебные заведения, фонды – это исполнители проектов поддержки исследований и инноваций федеральных министерств. К ним, в частности, относятся: </w:t>
      </w:r>
      <w:r w:rsidRPr="00321B33">
        <w:sym w:font="Symbol" w:char="F0B7"/>
      </w:r>
      <w:r w:rsidRPr="00321B33">
        <w:t xml:space="preserve"> Германский центр воздухоплавания и космических исследований; </w:t>
      </w:r>
      <w:r w:rsidRPr="00321B33">
        <w:sym w:font="Symbol" w:char="F0B7"/>
      </w:r>
      <w:r w:rsidRPr="00321B33">
        <w:t xml:space="preserve"> Исследовательский центр </w:t>
      </w:r>
      <w:proofErr w:type="spellStart"/>
      <w:r w:rsidRPr="00321B33">
        <w:t>Юлих</w:t>
      </w:r>
      <w:proofErr w:type="spellEnd"/>
      <w:r w:rsidRPr="00321B33">
        <w:t xml:space="preserve">: биотехнологии, фундаментальные исследования, энергетика; </w:t>
      </w:r>
      <w:r w:rsidRPr="00321B33">
        <w:sym w:font="Symbol" w:char="F0B7"/>
      </w:r>
      <w:r w:rsidRPr="00321B33">
        <w:t xml:space="preserve"> Исследовательский центр Карлсруэ: производственные технологии; </w:t>
      </w:r>
      <w:r w:rsidRPr="00321B33">
        <w:sym w:font="Symbol" w:char="F0B7"/>
      </w:r>
      <w:r w:rsidRPr="00321B33">
        <w:t xml:space="preserve"> Центр технологий союза германской индустрии - </w:t>
      </w:r>
      <w:proofErr w:type="spellStart"/>
      <w:r w:rsidRPr="00321B33">
        <w:t>нанотехнологии</w:t>
      </w:r>
      <w:proofErr w:type="spellEnd"/>
      <w:r w:rsidRPr="00321B33">
        <w:t xml:space="preserve">; </w:t>
      </w:r>
      <w:r w:rsidRPr="00321B33">
        <w:sym w:font="Symbol" w:char="F0B7"/>
      </w:r>
      <w:r w:rsidRPr="00321B33">
        <w:t xml:space="preserve"> VDI/VDE </w:t>
      </w:r>
      <w:proofErr w:type="spellStart"/>
      <w:r w:rsidRPr="00321B33">
        <w:t>Innovation</w:t>
      </w:r>
      <w:proofErr w:type="spellEnd"/>
      <w:r w:rsidRPr="00321B33">
        <w:t xml:space="preserve"> </w:t>
      </w:r>
      <w:proofErr w:type="spellStart"/>
      <w:r w:rsidRPr="00321B33">
        <w:t>und</w:t>
      </w:r>
      <w:proofErr w:type="spellEnd"/>
      <w:r w:rsidRPr="00321B33">
        <w:t xml:space="preserve"> </w:t>
      </w:r>
      <w:proofErr w:type="spellStart"/>
      <w:r w:rsidRPr="00321B33">
        <w:t>Technik</w:t>
      </w:r>
      <w:proofErr w:type="spellEnd"/>
      <w:r w:rsidRPr="00321B33">
        <w:t xml:space="preserve"> </w:t>
      </w:r>
      <w:proofErr w:type="spellStart"/>
      <w:r w:rsidRPr="00321B33">
        <w:t>GmbH</w:t>
      </w:r>
      <w:proofErr w:type="spellEnd"/>
      <w:r w:rsidRPr="00321B33">
        <w:t xml:space="preserve"> - микросистемы, сетевые проекты; 30 </w:t>
      </w:r>
      <w:r w:rsidRPr="00321B33">
        <w:sym w:font="Symbol" w:char="F0B7"/>
      </w:r>
      <w:r w:rsidRPr="00321B33">
        <w:t xml:space="preserve"> TUV </w:t>
      </w:r>
      <w:proofErr w:type="spellStart"/>
      <w:r w:rsidRPr="00321B33">
        <w:t>Akademie</w:t>
      </w:r>
      <w:proofErr w:type="spellEnd"/>
      <w:r w:rsidRPr="00321B33">
        <w:t xml:space="preserve"> </w:t>
      </w:r>
      <w:proofErr w:type="spellStart"/>
      <w:r w:rsidRPr="00321B33">
        <w:t>Rheinland</w:t>
      </w:r>
      <w:proofErr w:type="spellEnd"/>
      <w:r w:rsidRPr="00321B33">
        <w:t xml:space="preserve"> </w:t>
      </w:r>
      <w:proofErr w:type="spellStart"/>
      <w:r w:rsidRPr="00321B33">
        <w:t>GmbH</w:t>
      </w:r>
      <w:proofErr w:type="spellEnd"/>
      <w:r w:rsidRPr="00321B33">
        <w:t xml:space="preserve"> - транспорт; </w:t>
      </w:r>
      <w:r w:rsidRPr="00321B33">
        <w:sym w:font="Symbol" w:char="F0B7"/>
      </w:r>
      <w:r w:rsidRPr="00321B33">
        <w:t xml:space="preserve"> Общество по исследованию тяжелых ионов; </w:t>
      </w:r>
      <w:r w:rsidRPr="00321B33">
        <w:sym w:font="Symbol" w:char="F0B7"/>
      </w:r>
      <w:r w:rsidRPr="00321B33">
        <w:t xml:space="preserve"> Общество по безопасности ядерных реакторов и установок; </w:t>
      </w:r>
      <w:r w:rsidRPr="00321B33">
        <w:sym w:font="Symbol" w:char="F0B7"/>
      </w:r>
      <w:r w:rsidRPr="00321B33">
        <w:t xml:space="preserve"> Федеральный институт </w:t>
      </w:r>
      <w:proofErr w:type="spellStart"/>
      <w:r w:rsidRPr="00321B33">
        <w:t>профобучения</w:t>
      </w:r>
      <w:proofErr w:type="spellEnd"/>
      <w:r w:rsidRPr="00321B33">
        <w:t xml:space="preserve"> (BIBB) - технологии образования.</w:t>
      </w:r>
    </w:p>
    <w:p w:rsidR="00321B33" w:rsidRPr="00321B33" w:rsidRDefault="00321B33" w:rsidP="00321B33">
      <w:pPr>
        <w:shd w:val="clear" w:color="auto" w:fill="FFFFFF"/>
        <w:spacing w:after="267" w:line="240" w:lineRule="auto"/>
      </w:pPr>
      <w:r w:rsidRPr="00321B33">
        <w:t>Главными целями Германской Ассоциации инноваций, технологий и центров бизнес-</w:t>
      </w:r>
      <w:proofErr w:type="spellStart"/>
      <w:r w:rsidRPr="00321B33">
        <w:t>инкубирования</w:t>
      </w:r>
      <w:proofErr w:type="spellEnd"/>
      <w:r w:rsidRPr="00321B33">
        <w:t xml:space="preserve"> (ADT - </w:t>
      </w:r>
      <w:proofErr w:type="spellStart"/>
      <w:r w:rsidRPr="00321B33">
        <w:t>Bundesverband</w:t>
      </w:r>
      <w:proofErr w:type="spellEnd"/>
      <w:r w:rsidRPr="00321B33">
        <w:t xml:space="preserve"> </w:t>
      </w:r>
      <w:proofErr w:type="spellStart"/>
      <w:r w:rsidRPr="00321B33">
        <w:t>Deutscher</w:t>
      </w:r>
      <w:proofErr w:type="spellEnd"/>
      <w:r w:rsidRPr="00321B33">
        <w:t xml:space="preserve"> </w:t>
      </w:r>
      <w:proofErr w:type="spellStart"/>
      <w:r w:rsidRPr="00321B33">
        <w:t>Innovations</w:t>
      </w:r>
      <w:proofErr w:type="spellEnd"/>
      <w:r w:rsidRPr="00321B33">
        <w:t xml:space="preserve">-, </w:t>
      </w:r>
      <w:proofErr w:type="spellStart"/>
      <w:r w:rsidRPr="00321B33">
        <w:t>Technologie</w:t>
      </w:r>
      <w:proofErr w:type="spellEnd"/>
      <w:r w:rsidRPr="00321B33">
        <w:t xml:space="preserve">- </w:t>
      </w:r>
      <w:proofErr w:type="spellStart"/>
      <w:r w:rsidRPr="00321B33">
        <w:t>und</w:t>
      </w:r>
      <w:proofErr w:type="spellEnd"/>
      <w:r w:rsidRPr="00321B33">
        <w:t xml:space="preserve"> </w:t>
      </w:r>
      <w:proofErr w:type="spellStart"/>
      <w:r w:rsidRPr="00321B33">
        <w:t>Gründerzentren</w:t>
      </w:r>
      <w:proofErr w:type="spellEnd"/>
      <w:r w:rsidRPr="00321B33">
        <w:t>) являются инициирование и поддержка старт-</w:t>
      </w:r>
      <w:proofErr w:type="spellStart"/>
      <w:r w:rsidRPr="00321B33">
        <w:t>апов</w:t>
      </w:r>
      <w:proofErr w:type="spellEnd"/>
      <w:r w:rsidRPr="00321B33">
        <w:t xml:space="preserve"> в сфере технологий, трансферт технологий и продвижение экономического роста. В настоящее время 152 инновационных бизнес-инкубатора вовлечены в сеть с более 5800 компаниями и более 46000 сотрудниками. За 25 лет истории около 20 тысяч компаний прошли через бизнес-</w:t>
      </w:r>
      <w:proofErr w:type="spellStart"/>
      <w:r w:rsidRPr="00321B33">
        <w:t>инкубирование</w:t>
      </w:r>
      <w:proofErr w:type="spellEnd"/>
      <w:r w:rsidRPr="00321B33">
        <w:t xml:space="preserve"> в данной организации. Каждый год Ассоциация вкладывает </w:t>
      </w:r>
      <w:proofErr w:type="spellStart"/>
      <w:r w:rsidRPr="00321B33">
        <w:t>ок</w:t>
      </w:r>
      <w:proofErr w:type="spellEnd"/>
      <w:r w:rsidRPr="00321B33">
        <w:t xml:space="preserve">. 500 млн. евро в поддержку прикладных исследований. </w:t>
      </w:r>
      <w:hyperlink r:id="rId64" w:history="1">
        <w:r w:rsidRPr="00321B33">
          <w:rPr>
            <w:rStyle w:val="a3"/>
          </w:rPr>
          <w:t>http://fond76.ru/upload/images/eekc</w:t>
        </w:r>
      </w:hyperlink>
      <w:r w:rsidRPr="00321B33">
        <w:t xml:space="preserve"> ГЕРМАНИЯ.</w:t>
      </w:r>
    </w:p>
    <w:p w:rsidR="00321B33" w:rsidRPr="00321B33" w:rsidRDefault="00321B33" w:rsidP="00321B33">
      <w:pPr>
        <w:shd w:val="clear" w:color="auto" w:fill="FFFFFF"/>
        <w:spacing w:after="267" w:line="240" w:lineRule="auto"/>
        <w:rPr>
          <w:rFonts w:ascii="Arial" w:hAnsi="Arial" w:cs="Arial"/>
          <w:color w:val="000000"/>
          <w:sz w:val="23"/>
          <w:szCs w:val="23"/>
        </w:rPr>
      </w:pPr>
      <w:r w:rsidRPr="00321B33">
        <w:rPr>
          <w:rFonts w:ascii="Arial" w:hAnsi="Arial" w:cs="Arial"/>
          <w:color w:val="000000"/>
          <w:sz w:val="23"/>
          <w:szCs w:val="23"/>
        </w:rPr>
        <w:t xml:space="preserve">Одна из основных системных проблем инновационной деятельности Германии состоит в чрезмерной концентрации НИОКР в традиционных отраслях хозяйства, выпускающих </w:t>
      </w:r>
      <w:proofErr w:type="spellStart"/>
      <w:r w:rsidRPr="00321B33">
        <w:rPr>
          <w:rFonts w:ascii="Arial" w:hAnsi="Arial" w:cs="Arial"/>
          <w:color w:val="000000"/>
          <w:sz w:val="23"/>
          <w:szCs w:val="23"/>
        </w:rPr>
        <w:t>среднетехнологичную</w:t>
      </w:r>
      <w:proofErr w:type="spellEnd"/>
      <w:r w:rsidRPr="00321B33">
        <w:rPr>
          <w:rFonts w:ascii="Arial" w:hAnsi="Arial" w:cs="Arial"/>
          <w:color w:val="000000"/>
          <w:sz w:val="23"/>
          <w:szCs w:val="23"/>
        </w:rPr>
        <w:t xml:space="preserve"> продукцию (в первую очередь, это отрасли тяжелой промышленности - химическая промышленность, машиностроение, а также автомобилестроение). В указанных секторах задействовано около 1/2 научно-исследовательского потенциала страны, при этом на протяжении многих лет структурных изменений практически не происходило.</w:t>
      </w:r>
    </w:p>
    <w:p w:rsidR="00321B33" w:rsidRPr="00321B33" w:rsidRDefault="00321B33" w:rsidP="00321B33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21B33">
        <w:rPr>
          <w:color w:val="000000"/>
          <w:sz w:val="27"/>
          <w:szCs w:val="27"/>
          <w:shd w:val="clear" w:color="auto" w:fill="F1F1F1"/>
        </w:rPr>
        <w:t xml:space="preserve">Немецкая экономика на сегодняшний день является крупнейшей в Европе. В основе экономической мощи страны - высокотехнологическая промышленность и хорошо мотивированная к труду, высококвалифицированная рабочая сила. ФРГ также входит в тройку лидеров европейского инновационного развития, чьи показатели результативности инноваций значительно превышают средние для Европейского Союза [1,2]. В мировой «инновационной табели о рангах» Германия также занимает лидирующие места. Так в 2015 г. страна получила 12 место согласно Глобальному инновационному индексу (англ.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Global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Innovation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proofErr w:type="gramStart"/>
      <w:r w:rsidRPr="00321B33">
        <w:rPr>
          <w:color w:val="000000"/>
          <w:sz w:val="27"/>
          <w:szCs w:val="27"/>
          <w:shd w:val="clear" w:color="auto" w:fill="F1F1F1"/>
        </w:rPr>
        <w:t>Index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,</w:t>
      </w:r>
      <w:proofErr w:type="gramEnd"/>
      <w:r w:rsidRPr="00321B33">
        <w:rPr>
          <w:color w:val="000000"/>
          <w:sz w:val="27"/>
          <w:szCs w:val="27"/>
          <w:shd w:val="clear" w:color="auto" w:fill="F1F1F1"/>
        </w:rPr>
        <w:t xml:space="preserve"> рассчитывается для 141 экономики) и 4 место согласно Инновационному индексу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Блумберга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(англ.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Bloomber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Innovation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Index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, рассчитывается для 200 экономик) [3,4]. ФРГ также входит в число самых богатых стран в мире по размерам валового внутреннего продукта (ВВП) на душу населения (18 место, МВФ 2015), занимает 4 место в рейтинге глобальной конкурентоспособности, а немецкий уровень производительности труда (64,4 долл. США / час труда) более чем на четверть превышает средние показатели по ОЭСР (46,75 долл. США) почти в три раза выше, чем в России (22,71 долл. США) [5,6]. Впечатляющими являются также цифры валовых расходов ФРГ на научные исследования и разработки (ИР) - свыше 79 млрд. евро. Этот показатель составляет треть общеевропейских расходов на науку. В целом, к началу 2015 г. доля общих </w:t>
      </w:r>
      <w:r w:rsidRPr="00321B33">
        <w:rPr>
          <w:color w:val="000000"/>
          <w:sz w:val="27"/>
          <w:szCs w:val="27"/>
          <w:shd w:val="clear" w:color="auto" w:fill="F1F1F1"/>
        </w:rPr>
        <w:lastRenderedPageBreak/>
        <w:t xml:space="preserve">затрат ФРГ на исследования и разработки превысила 2,84% от ВВП (для сравнения, среднеевропейский показатель - 2,37 %, в России – 1,19 % от ВВП). Таким образом, Германия первой из стран Европейского Союза (ЕС) приблизилась к цели, поставленной в общеевропейской стратегии экономического развития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Europa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2020 (2010) - довести к 2020 г. расходы на исследования и разработки каждого члена ЕС до 3% ВВП [7]</w:t>
      </w:r>
      <w:r w:rsidRPr="00321B33">
        <w:rPr>
          <w:color w:val="000000"/>
          <w:sz w:val="27"/>
          <w:szCs w:val="27"/>
        </w:rPr>
        <w:br/>
      </w:r>
      <w:r w:rsidRPr="00321B33">
        <w:rPr>
          <w:color w:val="000000"/>
          <w:sz w:val="27"/>
          <w:szCs w:val="27"/>
        </w:rPr>
        <w:br/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left="45" w:right="45"/>
        <w:rPr>
          <w:rFonts w:ascii="Arial" w:eastAsia="Times New Roman" w:hAnsi="Arial" w:cs="Arial"/>
          <w:color w:val="003073"/>
          <w:sz w:val="18"/>
          <w:szCs w:val="18"/>
          <w:lang w:eastAsia="ru-RU"/>
        </w:rPr>
      </w:pPr>
      <w:r w:rsidRPr="00321B33"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                                    </w:t>
      </w:r>
      <w:r w:rsidRPr="00321B33">
        <w:rPr>
          <w:color w:val="000000"/>
          <w:sz w:val="27"/>
          <w:szCs w:val="27"/>
          <w:shd w:val="clear" w:color="auto" w:fill="F1F1F1"/>
        </w:rPr>
        <w:t>Система государственного управления наукой</w:t>
      </w:r>
      <w:r w:rsidRPr="00321B33">
        <w:rPr>
          <w:color w:val="000000"/>
          <w:sz w:val="27"/>
          <w:szCs w:val="27"/>
        </w:rPr>
        <w:br/>
      </w:r>
      <w:r w:rsidRPr="00321B33">
        <w:rPr>
          <w:color w:val="000000"/>
          <w:sz w:val="27"/>
          <w:szCs w:val="27"/>
        </w:rPr>
        <w:br/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 xml:space="preserve">Система организации науки в ФРГ отличается большим институциональным разнообразием [8-10]. Немецкая модель кооперативного федерализма, в основе которой лежит принцип «максимум согласия – минимум принуждения», предполагает, что все ключевые политические и социально-экономические решения принимаются путем согласования интересов федерации. На федеральном уровне ключевым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актором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в сфере формирования и реализации государственной научной политики является Федеральное министерство образования и науки. 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 xml:space="preserve">Другой важный участник системы управления научным развитием - Федеральное министерство экономики и энергетики (нем.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Bundesministerium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fü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r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Wirtschaft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und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Energie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– </w:t>
      </w:r>
      <w:proofErr w:type="spellStart"/>
      <w:proofErr w:type="gramStart"/>
      <w:r w:rsidRPr="00321B33">
        <w:rPr>
          <w:color w:val="000000"/>
          <w:sz w:val="27"/>
          <w:szCs w:val="27"/>
          <w:shd w:val="clear" w:color="auto" w:fill="F1F1F1"/>
        </w:rPr>
        <w:t>BMWi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)</w:t>
      </w:r>
      <w:proofErr w:type="gramEnd"/>
      <w:r w:rsidRPr="00321B33">
        <w:rPr>
          <w:color w:val="000000"/>
          <w:sz w:val="27"/>
          <w:szCs w:val="27"/>
          <w:shd w:val="clear" w:color="auto" w:fill="F1F1F1"/>
        </w:rPr>
        <w:t>, которое отвечает за технологическую и инновационную политику. Его задача – стимулирование кооперации между наукой и производством с целью трансфера знаний в экономику. Министерство, в частности, целенаправленно поддерживает ИР в ряде ключевых отраслей (энергетика, авиация и космонавтика, мультимедиа).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 xml:space="preserve">Важную роль в обеспечении правовой и финансовой базы развития науки играют, соответственно, Министерство юстиции и защиты прав </w:t>
      </w:r>
      <w:proofErr w:type="gramStart"/>
      <w:r w:rsidRPr="00321B33">
        <w:rPr>
          <w:color w:val="000000"/>
          <w:sz w:val="27"/>
          <w:szCs w:val="27"/>
          <w:shd w:val="clear" w:color="auto" w:fill="F1F1F1"/>
        </w:rPr>
        <w:t>потребителей )</w:t>
      </w:r>
      <w:proofErr w:type="gramEnd"/>
      <w:r w:rsidRPr="00321B33">
        <w:rPr>
          <w:color w:val="000000"/>
          <w:sz w:val="27"/>
          <w:szCs w:val="27"/>
          <w:shd w:val="clear" w:color="auto" w:fill="F1F1F1"/>
        </w:rPr>
        <w:t xml:space="preserve"> и Министерство финансов (нем.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Bundesministerium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der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Finanzen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), которые действуют в тесной координации с профильными министерствами. В реализации отдельных направлений государственной научной политики участвует целый ряд других федеральных министерств, которые, главным образом, поддерживают исследовательскую и инновационную деятельность в сфере своих интересов. Крупные проекты, в частности, реализуют Федеральное министерство здравоохранения и Федеральное министерство окружающей среды, охраны природы, строительства и безопасности ядерных реакторов. В свою очередь, на уровне земель государственную научную политику формируют и реализуют правительства земель (общее число - 16) и их профильные министерства.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 xml:space="preserve">Функции координатора научной политики между федеральным и земельным уровнями выполняет постоянно действующая Совместная научная конференция. Кроме того, важную роль в оказании консультативной помощи федеральному </w:t>
      </w:r>
      <w:r w:rsidRPr="00321B33">
        <w:rPr>
          <w:color w:val="000000"/>
          <w:sz w:val="27"/>
          <w:szCs w:val="27"/>
          <w:shd w:val="clear" w:color="auto" w:fill="F1F1F1"/>
        </w:rPr>
        <w:lastRenderedPageBreak/>
        <w:t>правительству и правительствам земель в сфере управления развитием науки и высшего образования играет Немецкий совет по науке.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>При немецком Бундестаге с начала 1990-х гг. действует Бюро оценки технологий - независимая научно-исследовательская организация, созданная с целью оказания консультативных услуг федеральному парламенту и его комитетам в области развития науки и технологий.</w:t>
      </w:r>
      <w:r w:rsidRPr="00321B33">
        <w:rPr>
          <w:color w:val="000000"/>
          <w:sz w:val="27"/>
          <w:szCs w:val="27"/>
        </w:rPr>
        <w:br/>
      </w:r>
      <w:r w:rsidRPr="00321B33">
        <w:rPr>
          <w:color w:val="000000"/>
          <w:sz w:val="27"/>
          <w:szCs w:val="27"/>
        </w:rPr>
        <w:br/>
      </w:r>
      <w:r w:rsidRPr="00321B33">
        <w:rPr>
          <w:color w:val="000000"/>
          <w:sz w:val="27"/>
          <w:szCs w:val="27"/>
          <w:shd w:val="clear" w:color="auto" w:fill="F1F1F1"/>
        </w:rPr>
        <w:t>В 1993 г. был учрежден постоянно действующий консультационный институт – Бюро технологической оценки, которое выполняет свои функции в сотрудничестве с различными научно-исследовательскими организациями. Рабочие программы TAB одобряет Комитет Бундестага по образованию, научным исследованиям и оценке технологий. В системе исполнительной власти ФРГ также действуют структуры наукоемкой экспертной поддержки и анализа государственной политики в области научно-инновационного развития. Важнейшей из них является постоянная Экспертная комиссия по исследованиям и инновациям.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>Экспертная комиссия, в состав которой входят шесть выдающихся немецких ученых, при поддержке высококвалифицированного аппарата фактически осуществляет независимый аудит эффективности государственной политики ФРГ в области, науки, образования и инноваций, результаты которого ежегодно (в феврале-марте) представляет федеральному канцлеру Германии. Ключевая задача этого документа – дать всесторонний анализ сильных и слабых сторон немецкой научно-инновационной системы в динамике и международном сравнении, а также представить конкретные предложения по совершенствованию государственной политики в этой сфере. Доклады комиссии играют важную роль в общегерманской политической повестке дня и зачастую становятся поводом для пересмотра и уточнения реализуемых стратегий. девятый доклад комиссии об эффективности научно-исследовательской, инновационной и технологической политики был представлен федеральному канцлеру А. Меркель 17 февраля 2016 г. [15]. В нем эксперты обратили, в частности, внимание на риски, связанные с «технократическим уклоном» государственной научно-инновационной политики, неэффективностью используемых инструментов косвенного стимулирования сектора ИР, слишком медленным переходом ФРГ к новой парадигме развития робототехники и значительным отставанием в сфере совершенствования электронного правительства.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 xml:space="preserve">Стратегия финансирования немецкой науки сочетает институциональную поддержку организаций с проектным финансированием. При этом в распределении институциональной поддержки государство все шире использует конкурсные процедуры с целью селекции эффективно функционирующих передовых научно-исследовательских организаций. Научные исследования в ФРГ финансируются из различных источников: в общем объеме национальных расходов доля прямой государственной поддержки составляет около 30%, доля предпринимательского </w:t>
      </w:r>
      <w:r w:rsidRPr="00321B33">
        <w:rPr>
          <w:color w:val="000000"/>
          <w:sz w:val="27"/>
          <w:szCs w:val="27"/>
          <w:shd w:val="clear" w:color="auto" w:fill="F1F1F1"/>
        </w:rPr>
        <w:lastRenderedPageBreak/>
        <w:t xml:space="preserve">сектора превышает 65%, а средства из иностранных источников - 5%. Целевое финансирование на конкурсной основе по всему спектру фундаментальных исследований осуществляет самоуправляемая автономная организация - фонд Немецкое научно-исследовательское сообщество, который, в свою очередь, получает средства от федеральных государственных органов (58%) и государственных органов земель (42%). Фонд DFG имеет подразделения в США, Индии и Китае и является крупнейшей организаций такого рода в Европе. 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 xml:space="preserve">Для управления государственными программами исследований в немецких научных центрах используются Исполнительные агентства (нем. </w:t>
      </w:r>
      <w:proofErr w:type="spellStart"/>
      <w:proofErr w:type="gramStart"/>
      <w:r w:rsidRPr="00321B33">
        <w:rPr>
          <w:color w:val="000000"/>
          <w:sz w:val="27"/>
          <w:szCs w:val="27"/>
          <w:shd w:val="clear" w:color="auto" w:fill="F1F1F1"/>
        </w:rPr>
        <w:t>Projektträger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)</w:t>
      </w:r>
      <w:proofErr w:type="gramEnd"/>
      <w:r w:rsidRPr="00321B33">
        <w:rPr>
          <w:color w:val="000000"/>
          <w:sz w:val="27"/>
          <w:szCs w:val="27"/>
          <w:shd w:val="clear" w:color="auto" w:fill="F1F1F1"/>
        </w:rPr>
        <w:t xml:space="preserve"> в форме различных автономных организаций, действующих в рамках единой организационной модели. Часть проектов с инновационной составляющей финансируется на возвратной основе немецким Банком реконструкции (нем.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Kreditanstalt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für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Wiederaufbau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- </w:t>
      </w:r>
      <w:proofErr w:type="spellStart"/>
      <w:proofErr w:type="gramStart"/>
      <w:r w:rsidRPr="00321B33">
        <w:rPr>
          <w:color w:val="000000"/>
          <w:sz w:val="27"/>
          <w:szCs w:val="27"/>
          <w:shd w:val="clear" w:color="auto" w:fill="F1F1F1"/>
        </w:rPr>
        <w:t>KfW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)</w:t>
      </w:r>
      <w:proofErr w:type="gramEnd"/>
      <w:r w:rsidRPr="00321B33">
        <w:rPr>
          <w:color w:val="000000"/>
          <w:sz w:val="27"/>
          <w:szCs w:val="27"/>
          <w:shd w:val="clear" w:color="auto" w:fill="F1F1F1"/>
        </w:rPr>
        <w:t>, в котором федеральному правительству Германии принадлежит 80% акций, а федеральным землям - 20%.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 xml:space="preserve">Важную роль в стимулировании международного образовательного и научного сотрудничества играет также общественная организация Германская служба академических обменов (нем.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Deutscher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Akademischer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Austauschdienst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- </w:t>
      </w:r>
      <w:proofErr w:type="gramStart"/>
      <w:r w:rsidRPr="00321B33">
        <w:rPr>
          <w:color w:val="000000"/>
          <w:sz w:val="27"/>
          <w:szCs w:val="27"/>
          <w:shd w:val="clear" w:color="auto" w:fill="F1F1F1"/>
        </w:rPr>
        <w:t>DAAD )</w:t>
      </w:r>
      <w:proofErr w:type="gramEnd"/>
      <w:r w:rsidRPr="00321B33">
        <w:rPr>
          <w:color w:val="000000"/>
          <w:sz w:val="27"/>
          <w:szCs w:val="27"/>
          <w:shd w:val="clear" w:color="auto" w:fill="F1F1F1"/>
        </w:rPr>
        <w:t xml:space="preserve"> с региональными офисами во всем мире. Эта структура поддерживает иностранных студентов, ученых и преподавателей, приехавших для обучения и работы в Германию, и, соответственно, помогает немецким студентам, ученым и преподавателям за рубежом.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>Правовую и инструментальную базу политики развития формирует комплекс основополагающих документов, который включает стратегии федерального правительства, различные планы действий (инициативы) федеральных министерств, а также соглашения (пакты) и совместные инициативы федерального правительства и правительств земель. Перечень ключевых документов образуют две стратегии федерального правительства (Стратегия высоких технологий для Германии и Стратегия интернационализации науки и исследований), Цифровая повестка дня 2014-2017, План действий Федерального министерства образования и науки «Международное сотрудничество», Инициатива Министерства иностранных дел ФРГ «Внешняя политика в области науки», а также три соглашения между федеральным правительством и правительствами земель: «Инициатива достижения превосходства», «Пакт для науки и инноваций» и «Пакт о высшей школе 2020». Кроме того, Федеральное министерство образования и науки регулярно использует технологию общенационального Форсайта в качестве инструмента наукоемкой поддержки принятия решений в области стратегического планирования научной и инновационной политики.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 xml:space="preserve">Стратегия высоких технологий для Германии (нем.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Hightech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-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Strategie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fü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r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Deutschland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– HTS </w:t>
      </w:r>
      <w:proofErr w:type="gramStart"/>
      <w:r w:rsidRPr="00321B33">
        <w:rPr>
          <w:color w:val="000000"/>
          <w:sz w:val="27"/>
          <w:szCs w:val="27"/>
          <w:shd w:val="clear" w:color="auto" w:fill="F1F1F1"/>
        </w:rPr>
        <w:t>2020 )</w:t>
      </w:r>
      <w:proofErr w:type="gramEnd"/>
      <w:r w:rsidRPr="00321B33">
        <w:rPr>
          <w:color w:val="000000"/>
          <w:sz w:val="27"/>
          <w:szCs w:val="27"/>
          <w:shd w:val="clear" w:color="auto" w:fill="F1F1F1"/>
        </w:rPr>
        <w:t xml:space="preserve"> [29] была принята федеральным правительством в 2006 г. и стала ключевым документом, стимулирующим переход экономики страны к </w:t>
      </w:r>
      <w:r w:rsidRPr="00321B33">
        <w:rPr>
          <w:color w:val="000000"/>
          <w:sz w:val="27"/>
          <w:szCs w:val="27"/>
          <w:shd w:val="clear" w:color="auto" w:fill="F1F1F1"/>
        </w:rPr>
        <w:lastRenderedPageBreak/>
        <w:t>инновационной модели развития. Стратегия исходит из концептуальных представлений о том, что инновации являются ключевым фактором устойчивого экономического роста, обеспечения всеобщей занятости, благосостояния и высокого качества жизни. Главная цель документа – продвинуть Германию на ее пути к мировому инновационному лидерству.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>Стратегия высоких технологий – это не только механизм координации действий федерального правительства, правительств земель и всех заинтересованных участников в целях повышения скорости и эффективности трансфера результатов научных исследований в практику, но базовый документ для среднесрочного планирования в области исследований, разработок и инновационной активности.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>Стратегии среднесрочные перспективы предполагают: - укрепление базы науки и технологий; - развитие инноваций; создание новых высокотехнологичных рабочих мест; - приоритет разрешения глобальных вызовов для улучшения повседневной жизни людей. Несмотря на свое название, стратегия HTS ориентирована не столько на развитие отдельных новых технологий, сколько на новые потребности общества в чистой энергии, качественной и эффективной системы поддержки здоровья, постоянной мобильности, безопасных коммуникаций и обеспечению высокой конкурентоспособности Германии как центра новой индустриализации.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>Особенностью стратегии является последовательная конкретизация согласованных целей развития в заданиях для науки, точный «перевод» вызовов будущего на язык предметно-ориентированных исследовательских проектов, учитывающих особенности и потенциал различных научных дисциплин.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>Согласно немецкой Стратегии высоких технологий, одним из ключевых направлений мирового лидерства ФРГ должны стать новые технологии, продукты и услуги, обеспечивающие сочетание безопасности пребывания в общественных местах и домохозяйствах с сохранением высокой личной свободы. Решение этой задачи подразумевает, в частности, координацию усилий науки и производства в области повсеместного развития цифровых инфраструктур, информационно-коммуникационных технологий, «Интернета вещей».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>В новой редакции Стратегии высоких технологий сформулированы пять основных направлений для развития инновационного потенциала страны: 1. Повышение благосостояния и качества жизни. 2. Консолидация ресурсов и ускорение трансфера технологий. 3. Ускорение инноваций в промышленности. 4. Создание благоприятных условий для инноваций. 5. Расширение диалога и участия.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 xml:space="preserve">В Стратегии высоких технологи также указаны шесть приоритетных тем для научных исследований и разработок: - цифровая экономика и общество; - устойчивая экономика и энергетика; - инновационное рабочее место; - здоровый образ жизни; - интеллектуальная мобильность (речь идет об исследованиях в области комплексной транспортной политики, способной оптимизировать различные виды транспорта с </w:t>
      </w:r>
      <w:r w:rsidRPr="00321B33">
        <w:rPr>
          <w:color w:val="000000"/>
          <w:sz w:val="27"/>
          <w:szCs w:val="27"/>
          <w:shd w:val="clear" w:color="auto" w:fill="F1F1F1"/>
        </w:rPr>
        <w:lastRenderedPageBreak/>
        <w:t>точки зрения их эффективности, возможностей и взаимодействия); - общественная безопасность – комплексные системы и инфраструктуры. По мнению экспертного сообщества ФРГ, именно эти сферы отличаются самой высокой динамикой инноваций и имеют большой потенциал для экономического роста и процветания.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>С 2015 г. земли были освобождены от обязательств совместно с федерацией финансировать университеты и школы. Это решение позволило снизить совокупную нагрузку на бюджеты земель более чем на 1,2 млрд. евро в год. Реализация инициативы привела к изменению научного и образовательного ландшафта. Во многих вузах возникли «кластеры передового опыта» («кластеры превосходства»), имеющие тесные связи с мировой наукой и хорошо интегрированные в единую европейскую научную сеть, а также разнообразные программы для зарубежных докторантов.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>Реализация инициативы привела к изменению научного и образовательного ландшафта. Во многих вузах возникли «кластеры передового опыта» («кластеры превосходства»), имеющие тесные связи с мировой наукой и хорошо интегрированные в единую европейскую научную сеть, а также разнообразные программы для зарубежных докторантов.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</w:rPr>
      </w:pPr>
      <w:r w:rsidRPr="00321B33">
        <w:rPr>
          <w:color w:val="000000"/>
          <w:sz w:val="27"/>
          <w:szCs w:val="27"/>
          <w:shd w:val="clear" w:color="auto" w:fill="F1F1F1"/>
        </w:rPr>
        <w:t xml:space="preserve">Ключевым документом стратегического планирования для научно-исследовательских организаций ФРГ является Пакт для науки и инноваций (нем.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Pakt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f ü r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Forschung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und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Innovation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- </w:t>
      </w:r>
      <w:proofErr w:type="gramStart"/>
      <w:r w:rsidRPr="00321B33">
        <w:rPr>
          <w:color w:val="000000"/>
          <w:sz w:val="27"/>
          <w:szCs w:val="27"/>
          <w:shd w:val="clear" w:color="auto" w:fill="F1F1F1"/>
        </w:rPr>
        <w:t>PFI )</w:t>
      </w:r>
      <w:proofErr w:type="gramEnd"/>
      <w:r w:rsidRPr="00321B33">
        <w:rPr>
          <w:color w:val="000000"/>
          <w:sz w:val="27"/>
          <w:szCs w:val="27"/>
          <w:shd w:val="clear" w:color="auto" w:fill="F1F1F1"/>
        </w:rPr>
        <w:t xml:space="preserve"> [40], который носит статус соглашения между федеральным правительством и правительствами земель. Этот документ направлен на создание условий для устойчивого развития и постоянного совершенствования немецкой системы науки в целях повышения ее глобальной конкурентоспособности.</w:t>
      </w:r>
    </w:p>
    <w:p w:rsidR="00321B33" w:rsidRPr="00321B33" w:rsidRDefault="00321B33" w:rsidP="00321B33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  <w:shd w:val="clear" w:color="auto" w:fill="F1F1F1"/>
          <w:lang w:val="en-US"/>
        </w:rPr>
      </w:pPr>
      <w:r w:rsidRPr="00321B33">
        <w:rPr>
          <w:color w:val="000000"/>
          <w:sz w:val="27"/>
          <w:szCs w:val="27"/>
          <w:shd w:val="clear" w:color="auto" w:fill="F1F1F1"/>
        </w:rPr>
        <w:t xml:space="preserve">Важной особенностью немецкой модели государственного управления развитием является способность органов власти конструировать эффективно работающие структурные модели масштабных проектов, умение без потери смысла «переводить» визионерские идеи, образы желаемого будущего и концептуальные подходы на язык конкретных заданий для науки, образования и индустрии. Это обстоятельство обеспечивает высокую степень реализуемости программ. Анализ опыта ФРГ показывает, что эта страна целенаправленно занимается профилактикой рисков, связанных с зависимостью от предшествующего развития (англ.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Path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</w:t>
      </w:r>
      <w:proofErr w:type="spellStart"/>
      <w:proofErr w:type="gramStart"/>
      <w:r w:rsidRPr="00321B33">
        <w:rPr>
          <w:color w:val="000000"/>
          <w:sz w:val="27"/>
          <w:szCs w:val="27"/>
          <w:shd w:val="clear" w:color="auto" w:fill="F1F1F1"/>
        </w:rPr>
        <w:t>Dependence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)</w:t>
      </w:r>
      <w:proofErr w:type="gramEnd"/>
      <w:r w:rsidRPr="00321B33">
        <w:rPr>
          <w:color w:val="000000"/>
          <w:sz w:val="27"/>
          <w:szCs w:val="27"/>
          <w:shd w:val="clear" w:color="auto" w:fill="F1F1F1"/>
        </w:rPr>
        <w:t xml:space="preserve">. Для того чтобы избегать попадания в «институциональные ловушки» [49, 50], государство и экономические агенты должны находить в себе силы вовремя останавливать реализацию ресурсоемких стратегий и проектов, ставших неперспективными из-за изменения ситуации. Одним из способов решения этой сложной задачи является системное включение оценочных процедур в механизмы стратегического планирования и проектного управления. Кроме того, миссию раннего выявления неучтенных негативных эффектов реализуемых стратегий выполняют на постоянной основе различные независимые консультативные органы, </w:t>
      </w:r>
      <w:r w:rsidRPr="00321B33">
        <w:rPr>
          <w:color w:val="000000"/>
          <w:sz w:val="27"/>
          <w:szCs w:val="27"/>
          <w:shd w:val="clear" w:color="auto" w:fill="F1F1F1"/>
        </w:rPr>
        <w:lastRenderedPageBreak/>
        <w:t xml:space="preserve">такие, как, например, Экспертная комиссия по исследованиям и инновациям. Немецкая научная политика декларирует стремление эффективно использовать потенциал социальных и гуманитарных наук в поисках ответов на ключевые вызовы современности, включая проблемы посткризисного экономического развития и цифровой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коэволюции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>. Тем не менее, экспертные оценки показывают, что на практике научно-инновационные стратегии по-прежнему отличаются технократическим уклоном</w:t>
      </w:r>
      <w:r w:rsidRPr="00321B33">
        <w:rPr>
          <w:color w:val="000000"/>
          <w:sz w:val="27"/>
          <w:szCs w:val="27"/>
        </w:rPr>
        <w:br/>
      </w:r>
      <w:r w:rsidRPr="00321B33">
        <w:rPr>
          <w:color w:val="000000"/>
          <w:sz w:val="27"/>
          <w:szCs w:val="27"/>
        </w:rPr>
        <w:br/>
      </w:r>
      <w:r w:rsidRPr="00321B33">
        <w:rPr>
          <w:color w:val="000000"/>
          <w:sz w:val="27"/>
          <w:szCs w:val="27"/>
          <w:shd w:val="clear" w:color="auto" w:fill="F1F1F1"/>
        </w:rPr>
        <w:t xml:space="preserve">Правильная ссылка на статью: </w:t>
      </w:r>
      <w:proofErr w:type="spellStart"/>
      <w:r w:rsidRPr="00321B33">
        <w:rPr>
          <w:color w:val="000000"/>
          <w:sz w:val="27"/>
          <w:szCs w:val="27"/>
          <w:shd w:val="clear" w:color="auto" w:fill="F1F1F1"/>
        </w:rPr>
        <w:t>Яник</w:t>
      </w:r>
      <w:proofErr w:type="spellEnd"/>
      <w:r w:rsidRPr="00321B33">
        <w:rPr>
          <w:color w:val="000000"/>
          <w:sz w:val="27"/>
          <w:szCs w:val="27"/>
          <w:shd w:val="clear" w:color="auto" w:fill="F1F1F1"/>
        </w:rPr>
        <w:t xml:space="preserve"> А.А., Попова С.М. — Основные особенности современной научной политики в Германии // Современное образование. – 2016. – № 2. – С. 25 - 51. </w:t>
      </w:r>
      <w:r w:rsidRPr="00321B33">
        <w:rPr>
          <w:color w:val="000000"/>
          <w:sz w:val="27"/>
          <w:szCs w:val="27"/>
          <w:shd w:val="clear" w:color="auto" w:fill="F1F1F1"/>
          <w:lang w:val="en-US"/>
        </w:rPr>
        <w:t xml:space="preserve">DOI: 10.7256/2409-8736.2016.2.18931 URL: </w:t>
      </w:r>
      <w:hyperlink r:id="rId65" w:history="1">
        <w:r w:rsidRPr="00321B33">
          <w:rPr>
            <w:rStyle w:val="a3"/>
            <w:sz w:val="27"/>
            <w:szCs w:val="27"/>
            <w:shd w:val="clear" w:color="auto" w:fill="F1F1F1"/>
            <w:lang w:val="en-US"/>
          </w:rPr>
          <w:t>https://nbpublish.com/library_read_article.php?id=18931</w:t>
        </w:r>
      </w:hyperlink>
    </w:p>
    <w:p w:rsidR="002455D5" w:rsidRPr="00321B33" w:rsidRDefault="00321B33" w:rsidP="00321B33">
      <w:pPr>
        <w:rPr>
          <w:lang w:val="en-US"/>
        </w:rPr>
      </w:pPr>
      <w:r w:rsidRPr="00321B33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https://russian.rt.com/opinion/740143-yuzik-kitai-tehnologii-ryvok-zapad</w:t>
      </w:r>
      <w:r w:rsidRPr="00231DD4">
        <w:rPr>
          <w:color w:val="000000"/>
          <w:sz w:val="27"/>
          <w:szCs w:val="27"/>
          <w:lang w:val="en-US"/>
        </w:rPr>
        <w:br/>
      </w:r>
    </w:p>
    <w:sectPr w:rsidR="002455D5" w:rsidRPr="00321B33" w:rsidSect="00321B3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0666"/>
    <w:multiLevelType w:val="multilevel"/>
    <w:tmpl w:val="3E0C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33C21"/>
    <w:multiLevelType w:val="multilevel"/>
    <w:tmpl w:val="042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EE"/>
    <w:rsid w:val="002455D5"/>
    <w:rsid w:val="00321B33"/>
    <w:rsid w:val="0067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60D28-1C61-4443-8A4C-B786638E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B3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2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1%D1%8B%D1%80%D1%8C%D1%91" TargetMode="External"/><Relationship Id="rId18" Type="http://schemas.openxmlformats.org/officeDocument/2006/relationships/hyperlink" Target="https://ru.wikipedia.org/wiki/%D0%9C%D0%B0%D1%82%D0%B5%D1%80%D0%B8%D0%B0%D0%BB" TargetMode="External"/><Relationship Id="rId26" Type="http://schemas.openxmlformats.org/officeDocument/2006/relationships/hyperlink" Target="https://ru.wikipedia.org/wiki/%D0%9D%D0%B0%D1%80%D0%BE%D0%B4%D0%BD%D0%BE%D0%B5_%D1%85%D0%BE%D0%B7%D1%8F%D0%B9%D1%81%D1%82%D0%B2%D0%BE" TargetMode="External"/><Relationship Id="rId39" Type="http://schemas.openxmlformats.org/officeDocument/2006/relationships/hyperlink" Target="https://ru.wikipedia.org/wiki/%D0%A2%D0%B5%D0%BF%D0%BB%D0%BE%D1%8D%D0%BB%D0%B5%D0%BA%D1%82%D1%80%D0%BE%D1%81%D1%82%D0%B0%D0%BD%D1%86%D0%B8%D1%8F" TargetMode="External"/><Relationship Id="rId21" Type="http://schemas.openxmlformats.org/officeDocument/2006/relationships/hyperlink" Target="https://ru.wikipedia.org/wiki/%D0%A2%D1%80%D1%91%D1%85%D1%81%D0%B5%D0%BA%D1%82%D0%BE%D1%80%D0%BD%D0%B0%D1%8F_%D0%BC%D0%BE%D0%B4%D0%B5%D0%BB%D1%8C_%D1%8D%D0%BA%D0%BE%D0%BD%D0%BE%D0%BC%D0%B8%D0%BA%D0%B8" TargetMode="External"/><Relationship Id="rId34" Type="http://schemas.openxmlformats.org/officeDocument/2006/relationships/hyperlink" Target="https://ru.wikipedia.org/wiki/%D0%A1%D1%82%D1%80%D0%BE%D0%B8%D1%82%D0%B5%D0%BB%D1%8C%D0%BD%D1%8B%D0%B5_%D0%BC%D0%B0%D1%82%D0%B5%D1%80%D0%B8%D0%B0%D0%BB%D1%8B" TargetMode="External"/><Relationship Id="rId42" Type="http://schemas.openxmlformats.org/officeDocument/2006/relationships/hyperlink" Target="https://ru.wikipedia.org/wiki/%D0%9F%D1%80%D0%BE%D0%B4%D1%83%D0%BA%D1%86%D0%B8%D1%8F" TargetMode="External"/><Relationship Id="rId47" Type="http://schemas.openxmlformats.org/officeDocument/2006/relationships/hyperlink" Target="https://ru.wikipedia.org/wiki/%D0%A2%D0%BE%D0%BF%D0%BB%D0%B8%D0%B2%D0%BD%D0%B0%D1%8F_%D0%BF%D1%80%D0%BE%D0%BC%D1%8B%D1%88%D0%BB%D0%B5%D0%BD%D0%BD%D0%BE%D1%81%D1%82%D1%8C" TargetMode="External"/><Relationship Id="rId50" Type="http://schemas.openxmlformats.org/officeDocument/2006/relationships/hyperlink" Target="https://ru.wikipedia.org/wiki/%D0%A5%D0%B8%D0%BC%D0%B8%D1%87%D0%B5%D1%81%D0%BA%D0%B0%D1%8F_%D0%BF%D1%80%D0%BE%D0%BC%D1%8B%D1%88%D0%BB%D0%B5%D0%BD%D0%BD%D0%BE%D1%81%D1%82%D1%8C" TargetMode="External"/><Relationship Id="rId55" Type="http://schemas.openxmlformats.org/officeDocument/2006/relationships/hyperlink" Target="https://ru.wikipedia.org/wiki/%D0%94%D0%B5%D1%80%D0%B5%D0%B2%D0%BE%D0%BE%D0%B1%D1%80%D0%B0%D0%B1%D0%B0%D1%82%D1%8B%D0%B2%D0%B0%D1%8E%D1%89%D0%B0%D1%8F_%D0%BF%D1%80%D0%BE%D0%BC%D1%8B%D1%88%D0%BB%D0%B5%D0%BD%D0%BD%D0%BE%D1%81%D1%82%D1%8C" TargetMode="External"/><Relationship Id="rId63" Type="http://schemas.openxmlformats.org/officeDocument/2006/relationships/hyperlink" Target="https://ru.wikipedia.org/wiki/%D0%9F%D0%BE%D0%BB%D0%B8%D0%B3%D1%80%D0%B0%D1%84%D0%B8%D1%87%D0%B5%D1%81%D0%BA%D0%B0%D1%8F_%D0%BF%D1%80%D0%BE%D0%BC%D1%8B%D1%88%D0%BB%D0%B5%D0%BD%D0%BD%D0%BE%D1%81%D1%82%D1%8C" TargetMode="External"/><Relationship Id="rId7" Type="http://schemas.openxmlformats.org/officeDocument/2006/relationships/hyperlink" Target="https://ru.wikipedia.org/wiki/%D0%A0%D1%83%D0%B4%D0%BD%D0%B8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D%D0%BD%D0%B5%D1%80%D0%B3%D0%B8%D1%8F" TargetMode="External"/><Relationship Id="rId29" Type="http://schemas.openxmlformats.org/officeDocument/2006/relationships/hyperlink" Target="https://ru.wikipedia.org/wiki/%D0%9C%D0%B5%D1%82%D0%B0%D0%BB%D0%BB%D0%BE%D0%BF%D1%80%D0%BE%D0%BA%D0%B0%D1%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0%D0%B5%D0%B4%D0%BF%D1%80%D0%B8%D1%8F%D1%82%D0%B8%D0%B5" TargetMode="External"/><Relationship Id="rId11" Type="http://schemas.openxmlformats.org/officeDocument/2006/relationships/hyperlink" Target="https://ru.wikipedia.org/wiki/%D0%9A%D0%BE%D0%BC%D0%B1%D0%B8%D0%BD%D0%B0%D1%82" TargetMode="External"/><Relationship Id="rId24" Type="http://schemas.openxmlformats.org/officeDocument/2006/relationships/hyperlink" Target="https://ru.wikipedia.org/wiki/%D0%9F%D0%B5%D1%80%D0%B2%D0%B8%D1%87%D0%BD%D1%8B%D0%B9_%D1%81%D0%B5%D0%BA%D1%82%D0%BE%D1%80_%D1%8D%D0%BA%D0%BE%D0%BD%D0%BE%D0%BC%D0%B8%D0%BA%D0%B8" TargetMode="External"/><Relationship Id="rId32" Type="http://schemas.openxmlformats.org/officeDocument/2006/relationships/hyperlink" Target="https://ru.wikipedia.org/wiki/%D0%A6%D0%B5%D0%BB%D0%BB%D1%8E%D0%BB%D0%BE%D0%B7%D0%BD%D0%BE-%D0%B1%D1%83%D0%BC%D0%B0%D0%B6%D0%BD%D0%B0%D1%8F_%D0%BF%D1%80%D0%BE%D0%BC%D1%8B%D1%88%D0%BB%D0%B5%D0%BD%D0%BD%D0%BE%D1%81%D1%82%D1%8C" TargetMode="External"/><Relationship Id="rId37" Type="http://schemas.openxmlformats.org/officeDocument/2006/relationships/hyperlink" Target="https://ru.wikipedia.org/wiki/%D0%9C%D0%B5%D1%81%D1%82%D0%BD%D0%B0%D1%8F_%D0%BF%D1%80%D0%BE%D0%BC%D1%8B%D1%88%D0%BB%D0%B5%D0%BD%D0%BD%D0%BE%D1%81%D1%82%D1%8C" TargetMode="External"/><Relationship Id="rId40" Type="http://schemas.openxmlformats.org/officeDocument/2006/relationships/hyperlink" Target="https://ru.wikipedia.org/wiki/%D0%9A%D0%B8%D0%BD%D0%BE%D0%B8%D0%BD%D0%B4%D1%83%D1%81%D1%82%D1%80%D0%B8%D1%8F" TargetMode="External"/><Relationship Id="rId45" Type="http://schemas.openxmlformats.org/officeDocument/2006/relationships/hyperlink" Target="https://ru.wikipedia.org/wiki/%D0%9E%D0%B1%D1%89%D0%B5%D1%81%D0%BE%D1%8E%D0%B7%D0%BD%D1%8B%D0%B9_%D0%BA%D0%BB%D0%B0%D1%81%D1%81%D0%B8%D1%84%D0%B8%D0%BA%D0%B0%D1%82%D0%BE%D1%80_%D0%BE%D1%82%D1%80%D0%B0%D1%81%D0%BB%D0%B5%D0%B9_%D0%BD%D0%B0%D1%80%D0%BE%D0%B4%D0%BD%D0%BE%D0%B3%D0%BE_%D1%85%D0%BE%D0%B7%D1%8F%D0%B9%D1%81%D1%82%D0%B2%D0%B0" TargetMode="External"/><Relationship Id="rId53" Type="http://schemas.openxmlformats.org/officeDocument/2006/relationships/hyperlink" Target="https://ru.wikipedia.org/wiki/%D0%9C%D0%B5%D1%82%D0%B0%D0%BB%D0%BB%D0%BE%D0%BE%D0%B1%D1%80%D0%B0%D0%B1%D0%BE%D1%82%D0%BA%D0%B0" TargetMode="External"/><Relationship Id="rId58" Type="http://schemas.openxmlformats.org/officeDocument/2006/relationships/hyperlink" Target="https://ru.wikipedia.org/w/index.php?title=%D0%A1%D1%82%D0%B5%D0%BA%D0%BE%D0%BB%D1%8C%D0%BD%D0%B0%D1%8F_%D0%BF%D1%80%D0%BE%D0%BC%D1%8B%D1%88%D0%BB%D0%B5%D0%BD%D0%BD%D0%BE%D1%81%D1%82%D1%8C&amp;action=edit&amp;redlink=1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ru.wikipedia.org/wiki/%D0%A0%D1%83%D1%81%D1%81%D0%BA%D0%B8%D0%B9_%D1%8F%D0%B7%D1%8B%D0%BA" TargetMode="External"/><Relationship Id="rId15" Type="http://schemas.openxmlformats.org/officeDocument/2006/relationships/hyperlink" Target="https://ru.wikipedia.org/wiki/%D0%9F%D1%80%D0%BE%D0%B8%D0%B7%D0%B2%D0%BE%D0%B4%D1%81%D1%82%D0%B2%D0%BE" TargetMode="External"/><Relationship Id="rId23" Type="http://schemas.openxmlformats.org/officeDocument/2006/relationships/hyperlink" Target="https://ru.wikipedia.org/wiki/%D0%92%D1%82%D0%BE%D1%80%D0%B8%D1%87%D0%BD%D1%8B%D0%B9_%D1%81%D0%B5%D0%BA%D1%82%D0%BE%D1%80_%D1%8D%D0%BA%D0%BE%D0%BD%D0%BE%D0%BC%D0%B8%D0%BA%D0%B8" TargetMode="External"/><Relationship Id="rId28" Type="http://schemas.openxmlformats.org/officeDocument/2006/relationships/hyperlink" Target="https://ru.wikipedia.org/wiki/%D0%9C%D0%B0%D1%88%D0%B8%D0%BD%D0%BE%D1%81%D1%82%D1%80%D0%BE%D0%B5%D0%BD%D0%B8%D0%B5" TargetMode="External"/><Relationship Id="rId36" Type="http://schemas.openxmlformats.org/officeDocument/2006/relationships/hyperlink" Target="https://ru.wikipedia.org/wiki/%D0%9F%D0%B8%D1%89%D0%B5%D0%B2%D0%B0%D1%8F_%D0%BF%D1%80%D0%BE%D0%BC%D1%8B%D1%88%D0%BB%D0%B5%D0%BD%D0%BD%D0%BE%D1%81%D1%82%D1%8C" TargetMode="External"/><Relationship Id="rId49" Type="http://schemas.openxmlformats.org/officeDocument/2006/relationships/hyperlink" Target="https://ru.wikipedia.org/wiki/%D0%A6%D0%B2%D0%B5%D1%82%D0%BD%D0%B0%D1%8F_%D0%BC%D0%B5%D1%82%D0%B0%D0%BB%D0%BB%D1%83%D1%80%D0%B3%D0%B8%D1%8F" TargetMode="External"/><Relationship Id="rId57" Type="http://schemas.openxmlformats.org/officeDocument/2006/relationships/hyperlink" Target="https://ru.wikipedia.org/wiki/%D0%A1%D1%82%D1%80%D0%BE%D0%B8%D1%82%D0%B5%D0%BB%D1%8C%D0%BD%D1%8B%D0%B5_%D0%BC%D0%B0%D1%82%D0%B5%D1%80%D0%B8%D0%B0%D0%BB%D1%8B" TargetMode="External"/><Relationship Id="rId61" Type="http://schemas.openxmlformats.org/officeDocument/2006/relationships/hyperlink" Target="https://ru.wikipedia.org/wiki/%D0%9C%D0%B8%D0%BA%D1%80%D0%BE%D0%B1%D0%B8%D0%BE%D0%BB%D0%BE%D0%B3%D0%B8%D1%87%D0%B5%D1%81%D0%BA%D0%B0%D1%8F_%D0%BF%D1%80%D0%BE%D0%BC%D1%8B%D1%88%D0%BB%D0%B5%D0%BD%D0%BD%D0%BE%D1%81%D1%82%D1%8C" TargetMode="External"/><Relationship Id="rId10" Type="http://schemas.openxmlformats.org/officeDocument/2006/relationships/hyperlink" Target="https://ru.wikipedia.org/wiki/%D0%97%D0%B0%D0%B2%D0%BE%D0%B4" TargetMode="External"/><Relationship Id="rId19" Type="http://schemas.openxmlformats.org/officeDocument/2006/relationships/hyperlink" Target="https://ru.wikipedia.org/wiki/%D0%A1%D0%B5%D0%BB%D1%8C%D1%81%D0%BA%D0%BE%D0%B5_%D1%85%D0%BE%D0%B7%D1%8F%D0%B9%D1%81%D1%82%D0%B2%D0%BE" TargetMode="External"/><Relationship Id="rId31" Type="http://schemas.openxmlformats.org/officeDocument/2006/relationships/hyperlink" Target="https://ru.wikipedia.org/wiki/%D0%9D%D0%B5%D1%84%D1%82%D0%B5%D1%85%D0%B8%D0%BC%D0%B8%D1%8F" TargetMode="External"/><Relationship Id="rId44" Type="http://schemas.openxmlformats.org/officeDocument/2006/relationships/hyperlink" Target="https://ru.wikipedia.org/wiki/%D0%9F%D0%BE%D1%82%D1%80%D0%B5%D0%B1%D0%B8%D1%82%D0%B5%D0%BB%D1%8C" TargetMode="External"/><Relationship Id="rId52" Type="http://schemas.openxmlformats.org/officeDocument/2006/relationships/hyperlink" Target="https://ru.wikipedia.org/wiki/%D0%9C%D0%B0%D1%88%D0%B8%D0%BD%D0%BE%D1%81%D1%82%D1%80%D0%BE%D0%B5%D0%BD%D0%B8%D0%B5" TargetMode="External"/><Relationship Id="rId60" Type="http://schemas.openxmlformats.org/officeDocument/2006/relationships/hyperlink" Target="https://ru.wikipedia.org/wiki/%D0%9F%D0%B8%D1%89%D0%B5%D0%B2%D0%B0%D1%8F_%D0%BF%D1%80%D0%BE%D0%BC%D1%8B%D1%88%D0%BB%D0%B5%D0%BD%D0%BD%D0%BE%D1%81%D1%82%D1%8C" TargetMode="External"/><Relationship Id="rId65" Type="http://schemas.openxmlformats.org/officeDocument/2006/relationships/hyperlink" Target="https://nbpublish.com/library_read_article.php?id=189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B%D0%B5%D0%BA%D1%82%D1%80%D0%BE%D1%81%D1%82%D0%B0%D0%BD%D1%86%D0%B8%D1%8F" TargetMode="External"/><Relationship Id="rId14" Type="http://schemas.openxmlformats.org/officeDocument/2006/relationships/hyperlink" Target="https://ru.wikipedia.org/wiki/%D0%A2%D0%BE%D0%BF%D0%BB%D0%B8%D0%B2%D0%BE" TargetMode="External"/><Relationship Id="rId22" Type="http://schemas.openxmlformats.org/officeDocument/2006/relationships/hyperlink" Target="https://ru.wikipedia.org/wiki/%D0%9E%D0%B1%D1%80%D0%B0%D0%B1%D0%B0%D1%82%D1%8B%D0%B2%D0%B0%D1%8E%D1%89%D0%B0%D1%8F_%D0%BF%D1%80%D0%BE%D0%BC%D1%8B%D1%88%D0%BB%D0%B5%D0%BD%D0%BD%D0%BE%D1%81%D1%82%D1%8C" TargetMode="External"/><Relationship Id="rId27" Type="http://schemas.openxmlformats.org/officeDocument/2006/relationships/hyperlink" Target="https://ru.wikipedia.org/w/index.php?title=%D0%AD%D0%BB%D0%B5%D0%BA%D1%82%D1%80%D0%BE%D1%8D%D0%BD%D0%B5%D1%80%D0%B3%D0%B5%D1%82%D0%B8%D0%BA%D0%B8&amp;action=edit&amp;redlink=1" TargetMode="External"/><Relationship Id="rId30" Type="http://schemas.openxmlformats.org/officeDocument/2006/relationships/hyperlink" Target="https://ru.wikipedia.org/wiki/%D0%A5%D0%B8%D0%BC%D0%B8%D1%8F" TargetMode="External"/><Relationship Id="rId35" Type="http://schemas.openxmlformats.org/officeDocument/2006/relationships/hyperlink" Target="https://ru.wikipedia.org/wiki/%D0%9B%D1%91%D0%B3%D0%BA%D0%B0%D1%8F_%D0%BF%D1%80%D0%BE%D0%BC%D1%8B%D1%88%D0%BB%D0%B5%D0%BD%D0%BD%D0%BE%D1%81%D1%82%D1%8C" TargetMode="External"/><Relationship Id="rId43" Type="http://schemas.openxmlformats.org/officeDocument/2006/relationships/hyperlink" Target="https://ru.wikipedia.org/wiki/%D0%A2%D0%B5%D1%85%D0%BD%D0%BE%D0%BB%D0%BE%D0%B3%D0%B8%D1%8F" TargetMode="External"/><Relationship Id="rId48" Type="http://schemas.openxmlformats.org/officeDocument/2006/relationships/hyperlink" Target="https://ru.wikipedia.org/wiki/%D0%A7%D1%91%D1%80%D0%BD%D0%B0%D1%8F_%D0%BC%D0%B5%D1%82%D0%B0%D0%BB%D0%BB%D1%83%D1%80%D0%B3%D0%B8%D1%8F" TargetMode="External"/><Relationship Id="rId56" Type="http://schemas.openxmlformats.org/officeDocument/2006/relationships/hyperlink" Target="https://ru.wikipedia.org/wiki/%D0%A6%D0%B5%D0%BB%D0%BB%D1%8E%D0%BB%D0%BE%D0%B7%D0%BD%D0%BE-%D0%B1%D1%83%D0%BC%D0%B0%D0%B6%D0%BD%D0%B0%D1%8F_%D0%BF%D1%80%D0%BE%D0%BC%D1%8B%D1%88%D0%BB%D0%B5%D0%BD%D0%BD%D0%BE%D1%81%D1%82%D1%8C" TargetMode="External"/><Relationship Id="rId64" Type="http://schemas.openxmlformats.org/officeDocument/2006/relationships/hyperlink" Target="http://fond76.ru/upload/images/eekc" TargetMode="External"/><Relationship Id="rId8" Type="http://schemas.openxmlformats.org/officeDocument/2006/relationships/hyperlink" Target="https://ru.wikipedia.org/wiki/%D0%A8%D0%B0%D1%85%D1%82%D0%B0" TargetMode="External"/><Relationship Id="rId51" Type="http://schemas.openxmlformats.org/officeDocument/2006/relationships/hyperlink" Target="https://ru.wikipedia.org/wiki/%D0%9D%D0%B5%D1%84%D1%82%D0%B5%D1%85%D0%B8%D0%BC%D0%B8%D1%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4%D0%B0%D0%B1%D1%80%D0%B8%D0%BA%D0%B0" TargetMode="External"/><Relationship Id="rId17" Type="http://schemas.openxmlformats.org/officeDocument/2006/relationships/hyperlink" Target="https://ru.wikipedia.org/wiki/%D0%9E%D1%80%D1%83%D0%B4%D0%B8%D0%B5_%D1%82%D1%80%D1%83%D0%B4%D0%B0" TargetMode="External"/><Relationship Id="rId25" Type="http://schemas.openxmlformats.org/officeDocument/2006/relationships/hyperlink" Target="https://ru.wikipedia.org/wiki/%D0%9F%D1%80%D0%BE%D0%BC%D1%8B%D1%88%D0%BB%D0%B5%D0%BD%D0%BD%D0%BE%D1%81%D1%82%D1%8C" TargetMode="External"/><Relationship Id="rId33" Type="http://schemas.openxmlformats.org/officeDocument/2006/relationships/hyperlink" Target="https://ru.wikipedia.org/wiki/%D0%A6%D0%B5%D0%BC%D0%B5%D0%BD%D1%82" TargetMode="External"/><Relationship Id="rId38" Type="http://schemas.openxmlformats.org/officeDocument/2006/relationships/hyperlink" Target="https://ru.wikipedia.org/wiki/%D0%9F%D0%B0%D1%80%D0%BE%D0%B2%D0%BE%D0%B7%D0%BE%D1%80%D0%B5%D0%BC%D0%BE%D0%BD%D1%82%D0%BD%D1%8B%D0%B5_%D0%B7%D0%B0%D0%B2%D0%BE%D0%B4%D1%8B" TargetMode="External"/><Relationship Id="rId46" Type="http://schemas.openxmlformats.org/officeDocument/2006/relationships/hyperlink" Target="https://ru.wikipedia.org/wiki/%D0%AD%D0%BB%D0%B5%D0%BA%D1%82%D1%80%D0%BE%D1%8D%D0%BD%D0%B5%D1%80%D0%B3%D0%B5%D1%82%D0%B8%D0%BA%D0%B0" TargetMode="External"/><Relationship Id="rId59" Type="http://schemas.openxmlformats.org/officeDocument/2006/relationships/hyperlink" Target="https://ru.wikipedia.org/wiki/%D0%9B%D1%91%D0%B3%D0%BA%D0%B0%D1%8F_%D0%BF%D1%80%D0%BE%D0%BC%D1%8B%D1%88%D0%BB%D0%B5%D0%BD%D0%BD%D0%BE%D1%81%D1%82%D1%8C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ru.wikipedia.org/wiki/%D0%9F%D0%BE%D1%82%D1%80%D0%B5%D0%B1%D0%B8%D1%82%D0%B5%D0%BB%D1%8C%D1%81%D0%BA%D0%B8%D0%B5_%D1%82%D0%BE%D0%B2%D0%B0%D1%80%D1%8B" TargetMode="External"/><Relationship Id="rId41" Type="http://schemas.openxmlformats.org/officeDocument/2006/relationships/hyperlink" Target="https://ru.wikipedia.org/wiki/%D0%9F%D1%80%D0%B5%D0%B4%D0%BF%D1%80%D0%B8%D1%8F%D1%82%D0%B8%D1%8F" TargetMode="External"/><Relationship Id="rId54" Type="http://schemas.openxmlformats.org/officeDocument/2006/relationships/hyperlink" Target="https://ru.wikipedia.org/wiki/%D0%9B%D0%B5%D1%81%D0%BD%D0%B0%D1%8F_%D0%BF%D1%80%D0%BE%D0%BC%D1%8B%D1%88%D0%BB%D0%B5%D0%BD%D0%BD%D0%BE%D1%81%D1%82%D1%8C" TargetMode="External"/><Relationship Id="rId62" Type="http://schemas.openxmlformats.org/officeDocument/2006/relationships/hyperlink" Target="https://ru.wikipedia.org/w/index.php?title=%D0%9C%D0%B5%D0%B4%D0%B8%D1%86%D0%B8%D0%BD%D1%81%D0%BA%D0%B0%D1%8F_%D0%BF%D1%80%D0%BE%D0%BC%D1%8B%D1%88%D0%BB%D0%B5%D0%BD%D0%BD%D0%BE%D1%81%D1%82%D1%8C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5223</Words>
  <Characters>29777</Characters>
  <Application>Microsoft Office Word</Application>
  <DocSecurity>0</DocSecurity>
  <Lines>248</Lines>
  <Paragraphs>69</Paragraphs>
  <ScaleCrop>false</ScaleCrop>
  <Company/>
  <LinksUpToDate>false</LinksUpToDate>
  <CharactersWithSpaces>34931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2022-10-05T13:56:00Z</dcterms:created>
  <dcterms:modified xsi:type="dcterms:W3CDTF">2022-10-05T13:57:00Z</dcterms:modified>
</cp:coreProperties>
</file>